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Bundesministerium für Finanzen - Referat II A 4</w:t>
      </w:r>
    </w:p>
    <w:p>
      <w:pPr>
        <w:spacing w:after="320"/>
      </w:pPr>
      <w:r>
        <w:t>Wilhelmstraße 97, 10117 Berlin</w:t>
        <w:br/>
        <w:t>Telefon 030 18682-0 | poststelle@bmf-bund.de</w:t>
      </w:r>
    </w:p>
    <w:p>
      <w:pPr>
        <w:spacing w:after="240"/>
      </w:pPr>
      <w:r>
        <w:t>Bundesministerium für Arbeit und Soziales</w:t>
        <w:br/>
        <w:t>Haushaltsreferat Z H 2</w:t>
        <w:br/>
        <w:t>Wilhelmstraße 49</w:t>
        <w:br/>
        <w:t>10117 Berlin</w:t>
      </w:r>
    </w:p>
    <w:p>
      <w:pPr>
        <w:jc w:val="right"/>
      </w:pPr>
      <w:r>
        <w:t>Berlin, 1. Juli 2026</w:t>
      </w:r>
    </w:p>
    <w:p>
      <w:pPr>
        <w:spacing w:before="160" w:after="240"/>
      </w:pPr>
      <w:r>
        <w:rPr>
          <w:b/>
        </w:rPr>
        <w:t>Betreff: Bewirtschaftungsstand Kapitel 1101 und offene Verpflichtungen zum 30. Juni 2026</w:t>
        <w:br/>
        <w:t>Unser Zeichen: II A 4 - H 1882/26</w:t>
      </w:r>
    </w:p>
    <w:p>
      <w:r>
        <w:t>Sehr geehrte Frau Groß,</w:t>
      </w:r>
    </w:p>
    <w:p>
      <w:pPr>
        <w:spacing w:after="160"/>
        <w:jc w:val="both"/>
      </w:pPr>
      <w:r>
        <w:t>nach dem Haushaltsvollzugssystem sind im Titel für die Bundesbeteiligung an den Unterkunftskosten zum Stichtag 30. Juni Ausgaben von 8,42 Milliarden Euro gebucht. Weitere 1,18 Milliarden Euro sind als offene Mittelbindungen hinterlegt. Drei Länderabrufe für Mai befinden sich wegen abweichender Fallzahlen noch in der fachlichen Klärung und sind in dieser Summe nicht enthalten.</w:t>
      </w:r>
    </w:p>
    <w:p>
      <w:pPr>
        <w:spacing w:after="160"/>
        <w:jc w:val="both"/>
      </w:pPr>
      <w:r>
        <w:t>Im Verteidigungskapitel wurden für das Beschaffungsvorhaben Nordschirm Zahlungsverpflichtungen in Höhe von 640 Millionen Euro auf das vierte Quartal verschoben. Das Ressort hat dazu bislang keine formelle Änderung der Fälligkeitsplanung übermittelt. Eine Verrechnung zwischen den Kapiteln ist im System nicht eingerichtet. Die im Arbeitsgespräch vom 29. Juni genannten Beträge sind deshalb getrennt darzustellen.</w:t>
      </w:r>
    </w:p>
    <w:p>
      <w:pPr>
        <w:spacing w:after="160"/>
        <w:jc w:val="both"/>
      </w:pPr>
      <w:r>
        <w:t>Bitte bestätigen Sie bis 7. Juli die beigefügte Liste der offenen Länderabrufe und kennzeichnen Sie, welche Beträge bereits geprüft sind. Der Datenauszug enthält noch Stornobuchungen und darf nicht ohne Erläuterung weitergegeben werden. Dieses Schreiben dokumentiert den Buchungsstand; über zusätzliche Mittel, Sperren oder einen Nachtrag ist damit nicht entschieden.</w:t>
      </w:r>
    </w:p>
    <w:p>
      <w:r>
        <w:t>Mit freundlichen Grüßen</w:t>
      </w:r>
    </w:p>
    <w:p>
      <w:r>
        <w:t>Dr. Carla Weißkirchen</w:t>
        <w:br/>
        <w:t>Leiterin des Referats Haushaltsvollzug</w:t>
      </w:r>
    </w:p>
    <w:p>
      <w:r>
        <w:t>Anlage: 14 buchungen und mittelbindungen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Bundesministerium für Finanzen - Referat II A 4 | Telefon 030 18682-0 | poststelle@bmf-bund.de | II A 4 - H 1882/26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Bundesministerium für Finanzen - Referat II A 4 | II A 4 - H 1882/26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Bewirtschaftungsstand Kapitel 1101 und offene Verpflichtungen zum 30. Juni 2026</dc:subject>
  <dc:creator>Bundesministerium für Finanzen - Referat II A 4</dc:creator>
  <cp:keywords/>
  <dc:description>generated by python-docx</dc:description>
  <cp:lastModifiedBy/>
  <cp:revision>1</cp:revision>
  <dcterms:created xsi:type="dcterms:W3CDTF">2013-12-23T23:15:00Z</dcterms:created>
  <dcterms:modified xsi:type="dcterms:W3CDTF">2013-12-23T23:15:00Z</dcterms:modified>
  <cp:category/>
</cp:coreProperties>
</file>