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Gerichtliche Route – Verfahrenswahl und Prozessablauf</w:t>
      </w:r>
    </w:p>
    <w:p>
      <w:pPr>
        <w:spacing w:before="120" w:after="60" w:line="259" w:lineRule="auto"/>
        <w:jc w:val="left"/>
      </w:pPr>
      <w:r>
        <w:rPr>
          <w:rFonts w:ascii="Times New Roman" w:hAnsi="Times New Roman"/>
          <w:b w:val="0"/>
          <w:i w:val="0"/>
          <w:sz w:val="22"/>
        </w:rPr>
        <w:t>Aktenzeichen:</w:t>
      </w:r>
      <w:r>
        <w:rPr>
          <w:rFonts w:ascii="Times New Roman" w:hAnsi="Times New Roman"/>
          <w:b w:val="0"/>
          <w:i w:val="0"/>
          <w:sz w:val="22"/>
        </w:rPr>
        <w:t xml:space="preserve"> MH-2026-001</w:t>
      </w:r>
    </w:p>
    <w:p>
      <w:pPr>
        <w:spacing w:before="120" w:after="60" w:line="259" w:lineRule="auto"/>
        <w:jc w:val="left"/>
      </w:pPr>
      <w:r>
        <w:rPr>
          <w:rFonts w:ascii="Times New Roman" w:hAnsi="Times New Roman"/>
          <w:b/>
          <w:sz w:val="22"/>
        </w:rPr>
        <w:t>Stand:</w:t>
      </w:r>
      <w:r>
        <w:rPr>
          <w:rFonts w:ascii="Times New Roman" w:hAnsi="Times New Roman"/>
          <w:b/>
          <w:sz w:val="22"/>
        </w:rPr>
        <w:t xml:space="preserve"> 9. Juni 2026</w:t>
      </w:r>
    </w:p>
    <w:p>
      <w:pPr>
        <w:spacing w:before="120" w:after="60" w:line="259" w:lineRule="auto"/>
        <w:jc w:val="left"/>
      </w:pPr>
      <w:r>
        <w:rPr>
          <w:rFonts w:ascii="Times New Roman" w:hAnsi="Times New Roman"/>
          <w:b/>
          <w:sz w:val="22"/>
        </w:rPr>
        <w:t>Verfasser:</w:t>
      </w:r>
      <w:r>
        <w:rPr>
          <w:rFonts w:ascii="Times New Roman" w:hAnsi="Times New Roman"/>
          <w:b/>
          <w:sz w:val="22"/>
        </w:rPr>
        <w:t xml:space="preserve"> RA Dr. Karolin Westphal</w:t>
      </w:r>
    </w:p>
    <w:p>
      <w:pPr>
        <w:spacing w:before="120" w:after="60" w:line="259" w:lineRule="auto"/>
        <w:jc w:val="left"/>
      </w:pPr>
      <w:r>
        <w:rPr>
          <w:rFonts w:ascii="Times New Roman" w:hAnsi="Times New Roman"/>
          <w:b/>
          <w:sz w:val="22"/>
        </w:rPr>
        <w:t>Entscheidungsdatum (geplant):</w:t>
      </w:r>
      <w:r>
        <w:rPr>
          <w:rFonts w:ascii="Times New Roman" w:hAnsi="Times New Roman"/>
          <w:b/>
          <w:sz w:val="22"/>
        </w:rPr>
        <w:t xml:space="preserve"> 13. Juni 2026 (Mandantengespräch)</w:t>
      </w:r>
    </w:p>
    <w:p>
      <w:pPr>
        <w:spacing w:line="259" w:lineRule="auto" w:after="60"/>
      </w:pPr>
    </w:p>
    <w:p>
      <w:pPr>
        <w:pStyle w:val="Heading2"/>
        <w:spacing w:before="120" w:after="60" w:line="259" w:lineRule="auto"/>
      </w:pPr>
      <w:r>
        <w:rPr>
          <w:rFonts w:ascii="Times New Roman" w:hAnsi="Times New Roman"/>
          <w:b/>
          <w:sz w:val="22"/>
        </w:rPr>
        <w:t>1. Entscheidungsgrundlage und Überblick</w:t>
      </w:r>
    </w:p>
    <w:p>
      <w:pPr>
        <w:spacing w:line="259" w:lineRule="auto" w:after="60"/>
        <w:jc w:val="left"/>
      </w:pPr>
      <w:r>
        <w:t>Nach Auswertung des 13-Wochen-Liquiditätsstatus, des Überschuldungsstatus und der Ergebnisse des Krisenursachen-Workshops sowie der Gespräche mit der NordBank AG (19. Mai 2026) sind die Verfahrensoptionen wie folgt zu bewerten: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Option A: StaRUG</w:t>
            </w:r>
          </w:p>
        </w:tc>
        <w:tc>
          <w:tcPr>
            <w:tcW w:type="dxa" w:w="2268"/>
          </w:tcPr>
          <w:p>
            <w:r>
              <w:rPr>
                <w:rFonts w:ascii="Times New Roman" w:hAnsi="Times New Roman"/>
                <w:b/>
                <w:sz w:val="20"/>
              </w:rPr>
              <w:t>Option B: InsO Eigenverwaltung</w:t>
            </w:r>
          </w:p>
        </w:tc>
        <w:tc>
          <w:tcPr>
            <w:tcW w:type="dxa" w:w="2268"/>
          </w:tcPr>
          <w:p>
            <w:r>
              <w:rPr>
                <w:rFonts w:ascii="Times New Roman" w:hAnsi="Times New Roman"/>
                <w:b/>
                <w:sz w:val="20"/>
              </w:rPr>
              <w:t>Option C: Regelinsolvenz</w:t>
            </w:r>
          </w:p>
        </w:tc>
      </w:tr>
      <w:tr>
        <w:tc>
          <w:tcPr>
            <w:tcW w:type="dxa" w:w="2268"/>
          </w:tcPr>
          <w:p>
            <w:r>
              <w:rPr>
                <w:rFonts w:ascii="Times New Roman" w:hAnsi="Times New Roman"/>
                <w:sz w:val="20"/>
              </w:rPr>
              <w:t>Voraussetzung</w:t>
            </w:r>
          </w:p>
        </w:tc>
        <w:tc>
          <w:tcPr>
            <w:tcW w:type="dxa" w:w="2268"/>
          </w:tcPr>
          <w:p>
            <w:r>
              <w:t>Drohende Zahlungsunfähigkeit</w:t>
            </w:r>
          </w:p>
        </w:tc>
        <w:tc>
          <w:tcPr>
            <w:tcW w:type="dxa" w:w="2268"/>
          </w:tcPr>
          <w:p>
            <w:r>
              <w:t>Planung nach Paragraf 270a; Anordnung nach Paragraf 270b InsO</w:t>
            </w:r>
          </w:p>
        </w:tc>
        <w:tc>
          <w:tcPr>
            <w:tcW w:type="dxa" w:w="2268"/>
          </w:tcPr>
          <w:p>
            <w:r>
              <w:t>Eröffnungsgrund, zulässiger Antrag und grundsätzlich Kostendeckung</w:t>
            </w:r>
          </w:p>
        </w:tc>
      </w:tr>
      <w:tr>
        <w:tc>
          <w:tcPr>
            <w:tcW w:type="dxa" w:w="2268"/>
          </w:tcPr>
          <w:p>
            <w:r>
              <w:rPr>
                <w:rFonts w:ascii="Times New Roman" w:hAnsi="Times New Roman"/>
                <w:sz w:val="20"/>
              </w:rPr>
              <w:t>Lohnschutz (Insolvenzgeld)</w:t>
            </w:r>
          </w:p>
        </w:tc>
        <w:tc>
          <w:tcPr>
            <w:tcW w:type="dxa" w:w="2268"/>
          </w:tcPr>
          <w:p>
            <w:r>
              <w:rPr>
                <w:rFonts w:ascii="Times New Roman" w:hAnsi="Times New Roman"/>
                <w:sz w:val="20"/>
              </w:rPr>
              <w:t>Nein</w:t>
            </w:r>
          </w:p>
        </w:tc>
        <w:tc>
          <w:tcPr>
            <w:tcW w:type="dxa" w:w="2268"/>
          </w:tcPr>
          <w:p>
            <w:r>
              <w:t>Bei Voraussetzungen bis zu drei Monate vor dem Insolvenzereignis</w:t>
            </w:r>
          </w:p>
        </w:tc>
        <w:tc>
          <w:tcPr>
            <w:tcW w:type="dxa" w:w="2268"/>
          </w:tcPr>
          <w:p>
            <w:r>
              <w:t>Bei Voraussetzungen bis zu drei Monate vor dem Insolvenzereignis</w:t>
            </w:r>
          </w:p>
        </w:tc>
      </w:tr>
      <w:tr>
        <w:tc>
          <w:tcPr>
            <w:tcW w:type="dxa" w:w="2268"/>
          </w:tcPr>
          <w:p>
            <w:r>
              <w:rPr>
                <w:rFonts w:ascii="Times New Roman" w:hAnsi="Times New Roman"/>
                <w:sz w:val="20"/>
              </w:rPr>
              <w:t>Einbeziehung Lieferanten</w:t>
            </w:r>
          </w:p>
        </w:tc>
        <w:tc>
          <w:tcPr>
            <w:tcW w:type="dxa" w:w="2268"/>
          </w:tcPr>
          <w:p>
            <w:r>
              <w:rPr>
                <w:rFonts w:ascii="Times New Roman" w:hAnsi="Times New Roman"/>
                <w:sz w:val="20"/>
              </w:rPr>
              <w:t>Nur wenn freiwillig</w:t>
            </w:r>
          </w:p>
        </w:tc>
        <w:tc>
          <w:tcPr>
            <w:tcW w:type="dxa" w:w="2268"/>
          </w:tcPr>
          <w:p>
            <w:r>
              <w:t>Über Gruppen im Insolvenzplan</w:t>
            </w:r>
          </w:p>
        </w:tc>
        <w:tc>
          <w:tcPr>
            <w:tcW w:type="dxa" w:w="2268"/>
          </w:tcPr>
          <w:p>
            <w:r>
              <w:t>Als Insolvenzgläubiger; Gruppen nur im Insolvenzplan</w:t>
            </w:r>
          </w:p>
        </w:tc>
      </w:tr>
      <w:tr>
        <w:tc>
          <w:tcPr>
            <w:tcW w:type="dxa" w:w="2268"/>
          </w:tcPr>
          <w:p>
            <w:r>
              <w:rPr>
                <w:rFonts w:ascii="Times New Roman" w:hAnsi="Times New Roman"/>
                <w:sz w:val="20"/>
              </w:rPr>
              <w:t>Cram-Down NordBank</w:t>
            </w:r>
          </w:p>
        </w:tc>
        <w:tc>
          <w:tcPr>
            <w:tcW w:type="dxa" w:w="2268"/>
          </w:tcPr>
          <w:p>
            <w:r>
              <w:rPr>
                <w:rFonts w:ascii="Times New Roman" w:hAnsi="Times New Roman"/>
                <w:sz w:val="20"/>
              </w:rPr>
              <w:t>Paragraf 26 StaRUG</w:t>
            </w:r>
          </w:p>
        </w:tc>
        <w:tc>
          <w:tcPr>
            <w:tcW w:type="dxa" w:w="2268"/>
          </w:tcPr>
          <w:p>
            <w:r>
              <w:rPr>
                <w:rFonts w:ascii="Times New Roman" w:hAnsi="Times New Roman"/>
                <w:sz w:val="20"/>
              </w:rPr>
              <w:t>Paragraf 245 InsO</w:t>
            </w:r>
          </w:p>
        </w:tc>
        <w:tc>
          <w:tcPr>
            <w:tcW w:type="dxa" w:w="2268"/>
          </w:tcPr>
          <w:p>
            <w:r>
              <w:t>Nur bei Insolvenzplan</w:t>
            </w:r>
          </w:p>
        </w:tc>
      </w:tr>
      <w:tr>
        <w:tc>
          <w:tcPr>
            <w:tcW w:type="dxa" w:w="2268"/>
          </w:tcPr>
          <w:p>
            <w:r>
              <w:rPr>
                <w:rFonts w:ascii="Times New Roman" w:hAnsi="Times New Roman"/>
                <w:sz w:val="20"/>
              </w:rPr>
              <w:t>Gerichtlicher Schutz</w:t>
            </w:r>
          </w:p>
        </w:tc>
        <w:tc>
          <w:tcPr>
            <w:tcW w:type="dxa" w:w="2268"/>
          </w:tcPr>
          <w:p>
            <w:r>
              <w:t>Nur auf Antrag und gerichtliche Anordnung, Paragrafen 49 bis 51 StaRUG</w:t>
            </w:r>
          </w:p>
        </w:tc>
        <w:tc>
          <w:tcPr>
            <w:tcW w:type="dxa" w:w="2268"/>
          </w:tcPr>
          <w:p>
            <w:r>
              <w:t>Vor Eröffnung nur gerichtlich; ab Eröffnung Paragraf 89 InsO</w:t>
            </w:r>
          </w:p>
        </w:tc>
        <w:tc>
          <w:tcPr>
            <w:tcW w:type="dxa" w:w="2268"/>
          </w:tcPr>
          <w:p>
            <w:r>
              <w:t>Vor Eröffnung nur gerichtlich; ab Eröffnung Paragraf 89 InsO</w:t>
            </w:r>
          </w:p>
        </w:tc>
      </w:tr>
      <w:tr>
        <w:tc>
          <w:tcPr>
            <w:tcW w:type="dxa" w:w="2268"/>
          </w:tcPr>
          <w:p>
            <w:r>
              <w:t>Publizität</w:t>
            </w:r>
          </w:p>
        </w:tc>
        <w:tc>
          <w:tcPr>
            <w:tcW w:type="dxa" w:w="2268"/>
          </w:tcPr>
          <w:p>
            <w:r>
              <w:t>Regelmäßig keine öffentliche Bekanntmachung</w:t>
            </w:r>
          </w:p>
        </w:tc>
        <w:tc>
          <w:tcPr>
            <w:tcW w:type="dxa" w:w="2268"/>
          </w:tcPr>
          <w:p>
            <w:r>
              <w:t>Öffentliche Bekanntmachung</w:t>
            </w:r>
          </w:p>
        </w:tc>
        <w:tc>
          <w:tcPr>
            <w:tcW w:type="dxa" w:w="2268"/>
          </w:tcPr>
          <w:p>
            <w:r>
              <w:t>Öffentliche Bekanntmachung</w:t>
            </w:r>
          </w:p>
        </w:tc>
      </w:tr>
      <w:tr>
        <w:tc>
          <w:tcPr>
            <w:tcW w:type="dxa" w:w="2268"/>
          </w:tcPr>
          <w:p>
            <w:r>
              <w:rPr>
                <w:rFonts w:ascii="Times New Roman" w:hAnsi="Times New Roman"/>
                <w:sz w:val="20"/>
              </w:rPr>
              <w:t>Zeitbedarf</w:t>
            </w:r>
          </w:p>
        </w:tc>
        <w:tc>
          <w:tcPr>
            <w:tcW w:type="dxa" w:w="2268"/>
          </w:tcPr>
          <w:p>
            <w:r>
              <w:rPr>
                <w:rFonts w:ascii="Times New Roman" w:hAnsi="Times New Roman"/>
                <w:sz w:val="20"/>
              </w:rPr>
              <w:t>3–5 Monate</w:t>
            </w:r>
          </w:p>
        </w:tc>
        <w:tc>
          <w:tcPr>
            <w:tcW w:type="dxa" w:w="2268"/>
          </w:tcPr>
          <w:p>
            <w:r>
              <w:rPr>
                <w:rFonts w:ascii="Times New Roman" w:hAnsi="Times New Roman"/>
                <w:sz w:val="20"/>
              </w:rPr>
              <w:t>6–12 Monate</w:t>
            </w:r>
          </w:p>
        </w:tc>
        <w:tc>
          <w:tcPr>
            <w:tcW w:type="dxa" w:w="2268"/>
          </w:tcPr>
          <w:p>
            <w:r>
              <w:rPr>
                <w:rFonts w:ascii="Times New Roman" w:hAnsi="Times New Roman"/>
                <w:sz w:val="20"/>
              </w:rPr>
              <w:t>12–24 Monate</w:t>
            </w:r>
          </w:p>
        </w:tc>
      </w:tr>
      <w:tr>
        <w:tc>
          <w:tcPr>
            <w:tcW w:type="dxa" w:w="2268"/>
          </w:tcPr>
          <w:p>
            <w:r>
              <w:rPr>
                <w:rFonts w:ascii="Times New Roman" w:hAnsi="Times New Roman"/>
                <w:sz w:val="20"/>
              </w:rPr>
              <w:t>Kosten</w:t>
            </w:r>
          </w:p>
        </w:tc>
        <w:tc>
          <w:tcPr>
            <w:tcW w:type="dxa" w:w="2268"/>
          </w:tcPr>
          <w:p>
            <w:r>
              <w:rPr>
                <w:rFonts w:ascii="Times New Roman" w:hAnsi="Times New Roman"/>
                <w:sz w:val="20"/>
              </w:rPr>
              <w:t>Mittel</w:t>
            </w:r>
          </w:p>
        </w:tc>
        <w:tc>
          <w:tcPr>
            <w:tcW w:type="dxa" w:w="2268"/>
          </w:tcPr>
          <w:p>
            <w:r>
              <w:rPr>
                <w:rFonts w:ascii="Times New Roman" w:hAnsi="Times New Roman"/>
                <w:sz w:val="20"/>
              </w:rPr>
              <w:t>Höher (Sachwalter)</w:t>
            </w:r>
          </w:p>
        </w:tc>
        <w:tc>
          <w:tcPr>
            <w:tcW w:type="dxa" w:w="2268"/>
          </w:tcPr>
          <w:p>
            <w:r>
              <w:rPr>
                <w:rFonts w:ascii="Times New Roman" w:hAnsi="Times New Roman"/>
                <w:sz w:val="20"/>
              </w:rPr>
              <w:t>Höher (IV-Vergütung)</w:t>
            </w:r>
          </w:p>
        </w:tc>
      </w:tr>
    </w:tbl>
    <w:p>
      <w:pPr>
        <w:spacing w:line="259" w:lineRule="auto" w:after="60"/>
        <w:jc w:val="left"/>
      </w:pPr>
      <w:r>
        <w:rPr>
          <w:b/>
        </w:rPr>
        <w:t>Empfehlung:</w:t>
      </w:r>
      <w:r>
        <w:t xml:space="preserve"> Insolvenzplan in Eigenverwaltung (Option B), begründet wie nachfolgend.</w:t>
      </w:r>
    </w:p>
    <w:p>
      <w:pPr>
        <w:spacing w:line="259" w:lineRule="auto" w:after="60"/>
      </w:pPr>
    </w:p>
    <w:p>
      <w:pPr>
        <w:pStyle w:val="Heading2"/>
        <w:spacing w:line="259" w:lineRule="auto" w:after="60"/>
      </w:pPr>
      <w:r>
        <w:rPr>
          <w:rFonts w:ascii="Times New Roman" w:hAnsi="Times New Roman"/>
        </w:rPr>
        <w:t>2. Option A: StaRUG-Restrukturierungsplan</w:t>
      </w:r>
    </w:p>
    <w:p>
      <w:pPr>
        <w:pStyle w:val="Heading3"/>
        <w:spacing w:line="259" w:lineRule="auto" w:after="60"/>
      </w:pPr>
      <w:r>
        <w:rPr>
          <w:rFonts w:ascii="Times New Roman" w:hAnsi="Times New Roman"/>
        </w:rPr>
        <w:t>2.1 Rechtliche Voraussetzungen</w:t>
      </w:r>
    </w:p>
    <w:p>
      <w:pPr>
        <w:spacing w:line="259" w:lineRule="auto" w:after="60"/>
        <w:jc w:val="left"/>
      </w:pPr>
      <w:r>
        <w:t>Die Instrumente des StaRUG dienen nach Paragraf 29 Absatz 1 StaRUG der nachhaltigen Beseitigung einer drohenden Zahlungsunfähigkeit. Restrukturierungsfähigkeit, Anzeige und konkrete Instrumentenvoraussetzungen sind getrennt nach Paragrafen 30 und 31 StaRUG sowie der jeweils beantragten Verfahrenshilfe zu prüfen.</w:t>
      </w:r>
    </w:p>
    <w:p>
      <w:pPr>
        <w:pStyle w:val="ListNumber"/>
        <w:spacing w:line="259" w:lineRule="auto" w:after="60"/>
      </w:pPr>
      <w:r>
        <w:t>Die Schuldnerin muss drohend zahlungsunfähig im Sinne des Paragrafen 18 Absatz 2 InsO sein. Tritt Zahlungsunfähigkeit oder bei einer haftungsbeschränkten Gesellschaft Überschuldung ein, greifen Anzeige- und Aufhebungsregeln nach Paragrafen 32 Absatz 3 und 33 Absatz 2 StaRUG; gesetzliche Ausnahmen sind fallbezogen zu prüfen.</w:t>
      </w:r>
    </w:p>
    <w:p>
      <w:pPr>
        <w:pStyle w:val="ListNumber"/>
        <w:spacing w:line="259" w:lineRule="auto" w:after="60"/>
      </w:pPr>
      <w:r>
        <w:t>Das Restrukturierungskonzept muss nachvollziehbar darlegen, wie die drohende Zahlungsunfähigkeit nachhaltig beseitigt werden soll. Paragraf 29 Absatz 2 StaRUG bestimmt die verfügbaren Instrumente; deren besondere Voraussetzungen sind jeweils gesondert zu prüfen.</w:t>
      </w:r>
    </w:p>
    <w:p>
      <w:pPr>
        <w:spacing w:line="259" w:lineRule="auto" w:after="60"/>
        <w:jc w:val="left"/>
      </w:pPr>
      <w:r>
        <w:rPr>
          <w:b/>
        </w:rPr>
        <w:t>Statusprüfung per 9. Juni 2026:</w:t>
      </w:r>
      <w:r>
        <w:t xml:space="preserve"> Die Zahlungsunfähigkeit ist durch die Projektzahlung Elbe Anlagenbau (28. Mai 2026, 380.000 Euro) und die Teilstundung des Finanzamts vorübergehend abgewendet. Der 13-Wochen-Liquiditätsstatus zeigt für KW 28–30 erneut negative Salden (ohne Investor-Tranche). </w:t>
      </w:r>
      <w:r>
        <w:rPr>
          <w:b/>
        </w:rPr>
        <w:t>Zwischenergebnis:</w:t>
      </w:r>
      <w:r>
        <w:t xml:space="preserve"> Drohende Zahlungsunfähigkeit ist gegeben; akute Zahlungsunfähigkeit ist aktuell nicht eingetreten. StaRUG-Option ist zulässig.</w:t>
      </w:r>
    </w:p>
    <w:p>
      <w:pPr>
        <w:pStyle w:val="Heading3"/>
        <w:spacing w:line="259" w:lineRule="auto" w:after="60"/>
      </w:pPr>
      <w:r>
        <w:rPr>
          <w:rFonts w:ascii="Times New Roman" w:hAnsi="Times New Roman"/>
        </w:rPr>
        <w:t>2.2 Verfahrensschritte StaRUG</w:t>
      </w:r>
    </w:p>
    <w:p>
      <w:pPr>
        <w:spacing w:line="259" w:lineRule="auto" w:after="60"/>
        <w:jc w:val="left"/>
      </w:pPr>
      <w:r>
        <w:rPr>
          <w:b/>
        </w:rPr>
        <w:t>Schritt 1 – Anzeige des Restrukturierungsvorhabens (Paragraf 31 StaRUG):</w:t>
      </w:r>
    </w:p>
    <w:p>
      <w:pPr>
        <w:spacing w:line="259" w:lineRule="auto" w:after="60"/>
        <w:jc w:val="left"/>
      </w:pPr>
      <w:r>
        <w:t>Anzeige beim zuständigen Restrukturierungsgericht nach Paragraf 31 StaRUG. Für den Sitz in Hamburg ist die sachliche Zuständigkeit nach Paragraf 34 StaRUG und die örtliche Zuständigkeit nach Paragraf 35 StaRUG einschließlich der geltenden landesrechtlichen Konzentration zu prüfen. Mit der wirksamen Anzeige wird die Restrukturierungssache rechtshängig; die Schuldnerin unterliegt den Mitteilungs- und Verhaltenspflichten des StaRUG.</w:t>
      </w:r>
    </w:p>
    <w:p>
      <w:pPr>
        <w:spacing w:line="259" w:lineRule="auto" w:after="60"/>
        <w:jc w:val="left"/>
      </w:pPr>
      <w:r>
        <w:rPr>
          <w:b/>
        </w:rPr>
        <w:t>Schritt 2 – Stabilisierungsanordnung (Paragraf 49 StaRUG):</w:t>
      </w:r>
    </w:p>
    <w:p>
      <w:pPr>
        <w:spacing w:line="259" w:lineRule="auto" w:after="60"/>
        <w:jc w:val="left"/>
      </w:pPr>
      <w:r>
        <w:t>Antrag auf Stabilisierungsanordnung, um konkret bezeichnete Vollstreckungsmaßnahmen der NordBank zu untersagen oder einzustellen. Inhalt, Adressatenkreis und Dauer nach Paragraf 50 StaRUG bestimmen; vollständige und schlüssige Restrukturierungsplanung sowie Erforderlichkeit und weitere Voraussetzungen nach Paragraf 51 StaRUG belegen. Eine vorab erreichte Gläubigermehrheit ist keine pauschale Tatbestandsvoraussetzung.</w:t>
      </w:r>
    </w:p>
    <w:p>
      <w:pPr>
        <w:spacing w:line="259" w:lineRule="auto" w:after="60"/>
        <w:jc w:val="left"/>
      </w:pPr>
      <w:r>
        <w:rPr>
          <w:b/>
        </w:rPr>
        <w:t>Schritt 3 – Planabstimmung (Paragrafen 17–21 StaRUG):</w:t>
      </w:r>
    </w:p>
    <w:p>
      <w:pPr>
        <w:spacing w:line="259" w:lineRule="auto" w:after="60"/>
        <w:jc w:val="left"/>
      </w:pPr>
      <w:r>
        <w:t>Abstimmung in Gruppen; die erforderliche Mehrheit bestimmt Paragraf 25 StaRUG. Eine gruppenübergreifende Mehrheitsentscheidung nach Paragraf 26 StaRUG verlangt insbesondere, dass die ablehnende Gruppe voraussichtlich nicht schlechter gestellt und angemessen am Planwert beteiligt wird sowie die gesetzlich erforderliche Mehrheit der abstimmenden Gruppen zugestimmt hat. Die Sonderregel bei nur zwei Gruppen und die Grenzen der Paragrafen 27 und 28 StaRUG gesondert prüfen.</w:t>
      </w:r>
    </w:p>
    <w:p>
      <w:pPr>
        <w:spacing w:line="259" w:lineRule="auto" w:after="60"/>
        <w:jc w:val="left"/>
      </w:pPr>
      <w:r>
        <w:t>Schritt 4 – Antrag auf Planbestätigung nach Paragraf 60 StaRUG:</w:t>
      </w:r>
    </w:p>
    <w:p>
      <w:pPr>
        <w:spacing w:line="259" w:lineRule="auto" w:after="60"/>
        <w:jc w:val="left"/>
      </w:pPr>
      <w:r>
        <w:t>Das Restrukturierungsgericht prüft den Bestätigungsantrag einschließlich Versagungsgründen und Minderheitenschutz. Die Wirkungen des bestätigten Plans richten sich nach Paragrafen 67 ff. StaRUG; Rechtsmittel und Eintritt der Rechtskraft gesondert dokumentieren.</w:t>
      </w:r>
    </w:p>
    <w:p>
      <w:pPr>
        <w:spacing w:line="259" w:lineRule="auto" w:after="60"/>
        <w:jc w:val="left"/>
      </w:pPr>
      <w:r>
        <w:rPr>
          <w:b/>
        </w:rPr>
        <w:t>Schritt 5 – Planvollzug:</w:t>
      </w:r>
    </w:p>
    <w:p>
      <w:pPr>
        <w:spacing w:line="259" w:lineRule="auto" w:after="60"/>
        <w:jc w:val="left"/>
      </w:pPr>
      <w:r>
        <w:t>Keine förmliche Überwachung gesetzlich zwingend; im Plan sollte dennoch eine Monitoring-Regelung aufgenommen werden.</w:t>
      </w:r>
    </w:p>
    <w:p>
      <w:pPr>
        <w:pStyle w:val="Heading3"/>
        <w:spacing w:line="259" w:lineRule="auto" w:after="60"/>
      </w:pPr>
      <w:r>
        <w:rPr>
          <w:rFonts w:ascii="Times New Roman" w:hAnsi="Times New Roman"/>
        </w:rPr>
        <w:t>2.3 Kritische Würdigung StaRUG</w:t>
      </w:r>
    </w:p>
    <w:p>
      <w:pPr>
        <w:spacing w:line="259" w:lineRule="auto" w:after="60"/>
        <w:jc w:val="left"/>
      </w:pPr>
      <w:r>
        <w:rPr>
          <w:b/>
        </w:rPr>
        <w:t>Vorteile:</w:t>
      </w:r>
    </w:p>
    <w:p>
      <w:pPr>
        <w:pStyle w:val="ListBullet"/>
        <w:spacing w:line="259" w:lineRule="auto" w:after="60"/>
      </w:pPr>
      <w:r>
        <w:t>Kein Insolvenzregistereintrag, geringere Öffentlichkeitswirkung.</w:t>
      </w:r>
    </w:p>
    <w:p>
      <w:pPr>
        <w:pStyle w:val="ListBullet"/>
        <w:spacing w:line="259" w:lineRule="auto" w:after="60"/>
      </w:pPr>
      <w:r>
        <w:t>Kein Insolvenzverwalter; Geschäftsführung bleibt handlungsfähig.</w:t>
      </w:r>
    </w:p>
    <w:p>
      <w:pPr>
        <w:pStyle w:val="ListBullet"/>
        <w:spacing w:line="259" w:lineRule="auto" w:after="60"/>
      </w:pPr>
      <w:r>
        <w:t>Lieferanten können außergerichtlich eingebunden werden (kein Druck erforderlich).</w:t>
      </w:r>
    </w:p>
    <w:p>
      <w:pPr>
        <w:pStyle w:val="ListBullet"/>
        <w:spacing w:line="259" w:lineRule="auto" w:after="60"/>
      </w:pPr>
      <w:r>
        <w:t>Zeitbedarf ca. 3–4 Monate (vs. 6–12 Monate Eigenverwaltung).</w:t>
      </w:r>
    </w:p>
    <w:p>
      <w:pPr>
        <w:spacing w:line="259" w:lineRule="auto" w:after="60"/>
        <w:jc w:val="left"/>
      </w:pPr>
      <w:r>
        <w:rPr>
          <w:b/>
        </w:rPr>
        <w:t>Nachteile:</w:t>
      </w:r>
    </w:p>
    <w:p>
      <w:pPr>
        <w:pStyle w:val="ListBullet"/>
        <w:spacing w:line="259" w:lineRule="auto" w:after="60"/>
      </w:pPr>
      <w:r>
        <w:t>Kein Insolvenzgeld: Lohnzahlungen für ca. 86 Mitarbeiter (ca. 450.000 Euro/Monat) müssen aus laufenden Mitteln bestritten werden. Bei negativem Liquiditätssaldo in KW 28–30 ist das ein erhebliches Risiko.</w:t>
      </w:r>
    </w:p>
    <w:p>
      <w:pPr>
        <w:pStyle w:val="ListBullet"/>
        <w:spacing w:line="259" w:lineRule="auto" w:after="60"/>
      </w:pPr>
      <w:r>
        <w:t>Keine automatische Vollstreckungssperre: Ein Gläubiger kann weiter pfänden (bis Stabilisierungsanordnung beantragt und erlassen ist).</w:t>
      </w:r>
    </w:p>
    <w:p>
      <w:pPr>
        <w:pStyle w:val="ListBullet"/>
        <w:spacing w:line="259" w:lineRule="auto" w:after="60"/>
      </w:pPr>
      <w:r>
        <w:t>Lieferanten sind nicht zwingend planbetroffene Gläubiger; ohne freiwillige Einigung kein Schuldenerlass bei Lieferanten.</w:t>
      </w:r>
    </w:p>
    <w:p>
      <w:pPr>
        <w:pStyle w:val="ListBullet"/>
        <w:spacing w:line="259" w:lineRule="auto" w:after="60"/>
      </w:pPr>
      <w:r>
        <w:t>NordBank-Cram-Down schwieriger: Das StaRUG-Gericht hat enge Prüfungsmaßstäbe; ein Cram-Down gegen die Hausbank ist politisch und rechtlich belastend.</w:t>
      </w:r>
    </w:p>
    <w:p>
      <w:pPr>
        <w:spacing w:line="259" w:lineRule="auto" w:after="60"/>
      </w:pPr>
    </w:p>
    <w:p>
      <w:pPr>
        <w:pStyle w:val="Heading2"/>
        <w:spacing w:line="259" w:lineRule="auto" w:after="60"/>
      </w:pPr>
      <w:r>
        <w:t>3. Option B: Insolvenzplan in Eigenverwaltung nach Paragrafen 217 ff. und 270 ff. InsO</w:t>
      </w:r>
    </w:p>
    <w:p>
      <w:pPr>
        <w:pStyle w:val="Heading3"/>
        <w:spacing w:line="259" w:lineRule="auto" w:after="60"/>
      </w:pPr>
      <w:r>
        <w:rPr>
          <w:rFonts w:ascii="Times New Roman" w:hAnsi="Times New Roman"/>
        </w:rPr>
        <w:t>3.1 Voraussetzungen Eigenverwaltung</w:t>
      </w:r>
    </w:p>
    <w:p>
      <w:pPr>
        <w:spacing w:line="259" w:lineRule="auto" w:after="60"/>
        <w:jc w:val="left"/>
      </w:pPr>
      <w:r>
        <w:t>Im eröffneten Verfahren wird die Eigenverwaltung nach Paragraf 270f InsO angeordnet; Paragraf 270 InsO beschreibt den Grundsatz der Verwaltung und Verfügung durch den Schuldner unter Sachwalteraufsicht. Für die vorläufige Eigenverwaltung sind die vollständige und schlüssige Eigenverwaltungsplanung nach Paragraf 270a InsO und die Voraussetzungen des Paragrafen 270b InsO maßgeblich.</w:t>
      </w:r>
    </w:p>
    <w:p>
      <w:pPr>
        <w:spacing w:line="259" w:lineRule="auto" w:after="60"/>
        <w:jc w:val="left"/>
      </w:pPr>
      <w:r>
        <w:t>Prüfpunkt: Das Gericht beurteilt die vorläufige Eigenverwaltung nach Paragraf 270b InsO anhand der vollständigen und schlüssigen Eigenverwaltungsplanung. Ein vorbereiteter Insolvenzplanentwurf kann die Durchführbarkeit plausibilisieren, ersetzt aber weder den Sechsmonats-Finanzplan noch die weiteren Angaben nach Paragraf 270a Absatz 1 Nummern 1 bis 5 InsO.</w:t>
      </w:r>
    </w:p>
    <w:p>
      <w:pPr>
        <w:pStyle w:val="Heading3"/>
        <w:spacing w:line="259" w:lineRule="auto" w:after="60"/>
      </w:pPr>
      <w:r>
        <w:rPr>
          <w:rFonts w:ascii="Times New Roman" w:hAnsi="Times New Roman"/>
        </w:rPr>
        <w:t>3.2 Verfahrensschritte Eigenverwaltung mit Insolvenzplan</w:t>
      </w:r>
    </w:p>
    <w:p>
      <w:pPr>
        <w:spacing w:line="259" w:lineRule="auto" w:after="60"/>
        <w:jc w:val="left"/>
      </w:pPr>
      <w:r>
        <w:rPr>
          <w:b/>
        </w:rPr>
        <w:t>Phase 1 – Vorbereitung (bis 16. Juni 2026):</w:t>
      </w:r>
    </w:p>
    <w:p>
      <w:pPr>
        <w:pStyle w:val="ListBullet"/>
        <w:spacing w:line="259" w:lineRule="auto" w:after="60"/>
      </w:pPr>
      <w:r>
        <w:t>Fertigstellung Planentwurf (darstellender + gestaltender Teil).</w:t>
      </w:r>
    </w:p>
    <w:p>
      <w:pPr>
        <w:pStyle w:val="ListBullet"/>
        <w:spacing w:line="259" w:lineRule="auto" w:after="60"/>
      </w:pPr>
      <w:r>
        <w:t>Abstimmung mit vorläufigem Sachwalter (Kanzlei Brandt &amp; Söhne).</w:t>
      </w:r>
    </w:p>
    <w:p>
      <w:pPr>
        <w:pStyle w:val="ListBullet"/>
        <w:spacing w:line="259" w:lineRule="auto" w:after="60"/>
      </w:pPr>
      <w:r>
        <w:t>Einholung Stellungnahme Gläubigerausschuss-Kandidaten.</w:t>
      </w:r>
    </w:p>
    <w:p>
      <w:pPr>
        <w:pStyle w:val="ListBullet"/>
        <w:spacing w:line="259" w:lineRule="auto" w:after="60"/>
      </w:pPr>
      <w:r>
        <w:t>Aufstellung Massesicherungsplan.</w:t>
      </w:r>
    </w:p>
    <w:p>
      <w:pPr>
        <w:spacing w:line="259" w:lineRule="auto" w:after="60"/>
        <w:jc w:val="left"/>
      </w:pPr>
      <w:r>
        <w:rPr>
          <w:b/>
        </w:rPr>
        <w:t>Phase 2 – Antragstellung (16. Juni 2026, geplant):</w:t>
      </w:r>
    </w:p>
    <w:p>
      <w:pPr>
        <w:pStyle w:val="ListBullet"/>
        <w:spacing w:line="259" w:lineRule="auto" w:after="60"/>
      </w:pPr>
      <w:r>
        <w:t>Insolvenzantrag der Schuldnerin (Paragraf 13 InsO).</w:t>
      </w:r>
    </w:p>
    <w:p>
      <w:pPr>
        <w:pStyle w:val="ListBullet"/>
        <w:spacing w:line="259" w:lineRule="auto" w:after="60"/>
      </w:pPr>
      <w:r>
        <w:t>Antrag auf vorläufige Eigenverwaltung nach Paragraf 270b InsO; Eigenverwaltungsplanung nach Paragraf 270a InsO beifügen.</w:t>
      </w:r>
    </w:p>
    <w:p>
      <w:pPr>
        <w:pStyle w:val="ListBullet"/>
        <w:spacing w:line="259" w:lineRule="auto" w:after="60"/>
      </w:pPr>
      <w:r>
        <w:t>Vorlage Insolvenzplanentwurf.</w:t>
      </w:r>
    </w:p>
    <w:p>
      <w:pPr>
        <w:pStyle w:val="ListBullet"/>
        <w:spacing w:line="259" w:lineRule="auto" w:after="60"/>
      </w:pPr>
      <w:r>
        <w:t>Vorlage 13-Wochen-Liquiditätsplanung, Überschuldungsstatus.</w:t>
      </w:r>
    </w:p>
    <w:p>
      <w:pPr>
        <w:spacing w:line="259" w:lineRule="auto" w:after="60"/>
        <w:jc w:val="left"/>
      </w:pPr>
      <w:r>
        <w:rPr>
          <w:b/>
        </w:rPr>
        <w:t>Phase 3 – Vorläufiges Verfahren (ca. 4–6 Wochen):</w:t>
      </w:r>
    </w:p>
    <w:p>
      <w:pPr>
        <w:pStyle w:val="ListBullet"/>
        <w:spacing w:line="259" w:lineRule="auto" w:after="60"/>
      </w:pPr>
      <w:r>
        <w:t>Anordnung vorläufige Eigenverwaltung.</w:t>
      </w:r>
    </w:p>
    <w:p>
      <w:pPr>
        <w:pStyle w:val="ListBullet"/>
        <w:spacing w:line="259" w:lineRule="auto" w:after="60"/>
      </w:pPr>
      <w:r>
        <w:t>Einsetzung vorläufiger Sachwalter.</w:t>
      </w:r>
    </w:p>
    <w:p>
      <w:pPr>
        <w:pStyle w:val="ListBullet"/>
        <w:spacing w:line="259" w:lineRule="auto" w:after="60"/>
      </w:pPr>
      <w:r>
        <w:t>Planannahme: Insolvenzgeldzeitraum Juni bis August 2026. Das maßgebliche Insolvenzereignis und die offenen Arbeitsentgeltansprüche nach Paragraf 165 SGB III sind vor der Finanzierung zu bestätigen.</w:t>
      </w:r>
    </w:p>
    <w:p>
      <w:pPr>
        <w:pStyle w:val="ListBullet"/>
        <w:spacing w:line="259" w:lineRule="auto" w:after="60"/>
      </w:pPr>
      <w:r>
        <w:t>Aufnahme Investor-Tranche 1 (sofern Plan-Annahme ausreichend sicher).</w:t>
      </w:r>
    </w:p>
    <w:p>
      <w:pPr>
        <w:spacing w:line="259" w:lineRule="auto" w:after="60"/>
        <w:jc w:val="left"/>
      </w:pPr>
      <w:r>
        <w:rPr>
          <w:b/>
        </w:rPr>
        <w:t>Phase 4 – Eröffnung und Planabstimmung (ca. KW 32–35 2026):</w:t>
      </w:r>
    </w:p>
    <w:p>
      <w:pPr>
        <w:pStyle w:val="ListBullet"/>
        <w:spacing w:line="259" w:lineRule="auto" w:after="60"/>
      </w:pPr>
      <w:r>
        <w:t>Insolvenzeröffnung (Paragraf 27 InsO).</w:t>
      </w:r>
    </w:p>
    <w:p>
      <w:pPr>
        <w:pStyle w:val="ListBullet"/>
        <w:spacing w:line="259" w:lineRule="auto" w:after="60"/>
      </w:pPr>
      <w:r>
        <w:t>Forderungsanmeldung (Paragrafen 174 ff. InsO, Prüfungstermin).</w:t>
      </w:r>
    </w:p>
    <w:p>
      <w:pPr>
        <w:pStyle w:val="ListBullet"/>
        <w:spacing w:line="259" w:lineRule="auto" w:after="60"/>
      </w:pPr>
      <w:r>
        <w:t>Erörterungs- und Abstimmungstermin (Paragraf 236 InsO).</w:t>
      </w:r>
    </w:p>
    <w:p>
      <w:pPr>
        <w:pStyle w:val="ListBullet"/>
        <w:spacing w:line="259" w:lineRule="auto" w:after="60"/>
      </w:pPr>
      <w:r>
        <w:t>Planbestätigung (Paragraf 248 InsO).</w:t>
      </w:r>
    </w:p>
    <w:p>
      <w:pPr>
        <w:spacing w:line="259" w:lineRule="auto" w:after="60"/>
        <w:jc w:val="left"/>
      </w:pPr>
      <w:r>
        <w:rPr>
          <w:b/>
        </w:rPr>
        <w:t>Phase 5 – Planvollzug (ab Rechtskraft, voraussichtlich Oktober 2026):</w:t>
      </w:r>
    </w:p>
    <w:p>
      <w:pPr>
        <w:pStyle w:val="ListBullet"/>
        <w:spacing w:line="259" w:lineRule="auto" w:after="60"/>
      </w:pPr>
      <w:r>
        <w:t>Auszahlung Planquoten aus Investor-Tranche und laufenden Einnahmen.</w:t>
      </w:r>
    </w:p>
    <w:p>
      <w:pPr>
        <w:pStyle w:val="ListBullet"/>
        <w:spacing w:line="259" w:lineRule="auto" w:after="60"/>
      </w:pPr>
      <w:r>
        <w:t>Treuhänder überwacht 24 Monate.</w:t>
      </w:r>
    </w:p>
    <w:p>
      <w:pPr>
        <w:pStyle w:val="ListBullet"/>
        <w:spacing w:line="259" w:lineRule="auto" w:after="60"/>
      </w:pPr>
      <w:r>
        <w:t>Planüberwachung bis Oktober 2028.</w:t>
      </w:r>
    </w:p>
    <w:p>
      <w:pPr>
        <w:pStyle w:val="Heading3"/>
        <w:spacing w:line="259" w:lineRule="auto" w:after="60"/>
      </w:pPr>
      <w:r>
        <w:rPr>
          <w:rFonts w:ascii="Times New Roman" w:hAnsi="Times New Roman"/>
        </w:rPr>
        <w:t>3.3 Kritische Würdigung Eigenverwaltung</w:t>
      </w:r>
    </w:p>
    <w:p>
      <w:pPr>
        <w:spacing w:line="259" w:lineRule="auto" w:after="60"/>
        <w:jc w:val="left"/>
      </w:pPr>
      <w:r>
        <w:rPr>
          <w:b/>
        </w:rPr>
        <w:t>Vorteile:</w:t>
      </w:r>
    </w:p>
    <w:p>
      <w:pPr>
        <w:pStyle w:val="ListBullet"/>
        <w:spacing w:line="259" w:lineRule="auto" w:after="60"/>
      </w:pPr>
      <w:r>
        <w:t>Insolvenzgeld kann offene Nettoarbeitsentgeltansprüche für die dem Insolvenzereignis vorausgehenden drei Monate abdecken. Die angenommene Liquiditätsentlastung von 1350000 Euro setzt eine tragfähige Vorfinanzierung und die erforderliche Zustimmung nach Paragraf 170 Absatz 4 SGB III voraus.</w:t>
      </w:r>
    </w:p>
    <w:p>
      <w:pPr>
        <w:pStyle w:val="ListBullet"/>
        <w:spacing w:line="259" w:lineRule="auto" w:after="60"/>
      </w:pPr>
      <w:r>
        <w:t>Der Insolvenzplan bindet die nach seinem gestaltenden Teil erfassten Beteiligten nach Maßgabe der Paragrafen 217 ff. InsO. Nicht einbezogene oder gesetzlich nicht gestaltbare Rechte sowie Masseverbindlichkeiten sind gesondert zu behandeln.</w:t>
      </w:r>
    </w:p>
    <w:p>
      <w:pPr>
        <w:pStyle w:val="ListBullet"/>
        <w:spacing w:line="259" w:lineRule="auto" w:after="60"/>
      </w:pPr>
      <w:r>
        <w:t>Mit Verfahrenseröffnung gelten die insolvenzrechtlichen Vollstreckungsbeschränkungen. Rechtshandlungen vor der Eröffnung bleiben nach Paragrafen 129 ff. InsO anfechtungsrechtlich zu prüfen; eine pauschale Anfechtungssperre besteht nicht.</w:t>
      </w:r>
    </w:p>
    <w:p>
      <w:pPr>
        <w:pStyle w:val="ListBullet"/>
        <w:spacing w:line="259" w:lineRule="auto" w:after="60"/>
      </w:pPr>
      <w:r>
        <w:t>Gerichtlich bestätigter Plan hat höchste Bindungswirkung (Paragraf 254 InsO).</w:t>
      </w:r>
    </w:p>
    <w:p>
      <w:pPr>
        <w:spacing w:line="259" w:lineRule="auto" w:after="60"/>
        <w:jc w:val="left"/>
      </w:pPr>
      <w:r>
        <w:rPr>
          <w:b/>
        </w:rPr>
        <w:t>Nachteile:</w:t>
      </w:r>
    </w:p>
    <w:p>
      <w:pPr>
        <w:pStyle w:val="ListBullet"/>
        <w:spacing w:line="259" w:lineRule="auto" w:after="60"/>
      </w:pPr>
      <w:r>
        <w:t>Insolvenzbekanntmachung: Kunden, Lieferanten und Mitarbeiter erfahren von der Insolvenz.</w:t>
      </w:r>
    </w:p>
    <w:p>
      <w:pPr>
        <w:pStyle w:val="ListBullet"/>
        <w:spacing w:line="259" w:lineRule="auto" w:after="60"/>
      </w:pPr>
      <w:r>
        <w:t>Reputationsschaden kurzfristig; einzelne Kunden könnten Aufträge zurückhalten.</w:t>
      </w:r>
    </w:p>
    <w:p>
      <w:pPr>
        <w:pStyle w:val="ListBullet"/>
        <w:spacing w:line="259" w:lineRule="auto" w:after="60"/>
      </w:pPr>
      <w:r>
        <w:t>Höhere Verfahrenskosten (Sachwalter, Gericht).</w:t>
      </w:r>
    </w:p>
    <w:p>
      <w:pPr>
        <w:pStyle w:val="ListBullet"/>
        <w:spacing w:line="259" w:lineRule="auto" w:after="60"/>
      </w:pPr>
      <w:r>
        <w:t>Zeitbedarf 6–9 Monate (aber durch vorbereiteten Plan reduziert).</w:t>
      </w:r>
    </w:p>
    <w:p>
      <w:pPr>
        <w:spacing w:line="259" w:lineRule="auto" w:after="60"/>
      </w:pPr>
    </w:p>
    <w:p>
      <w:pPr>
        <w:pStyle w:val="Heading2"/>
        <w:spacing w:line="259" w:lineRule="auto" w:after="60"/>
      </w:pPr>
      <w:r>
        <w:rPr>
          <w:rFonts w:ascii="Times New Roman" w:hAnsi="Times New Roman"/>
        </w:rPr>
        <w:t>4. Option C: Regelinsolvenz</w:t>
      </w:r>
    </w:p>
    <w:p>
      <w:pPr>
        <w:spacing w:line="259" w:lineRule="auto" w:after="60"/>
        <w:jc w:val="left"/>
      </w:pPr>
      <w:r>
        <w:t>Nicht empfohlen. Die Voraussetzungen für Eigenverwaltung sind erfüllt. Eine Regelinsolvenz würde die Geschäftsführung aus der operativen Kontrolle drängen und die Fortführungswahrscheinlichkeit verringern. Sie wird nur als letzter Ausweg diskutiert, falls Eigenverwaltungsantrag abgelehnt wird.</w:t>
      </w:r>
    </w:p>
    <w:p>
      <w:pPr>
        <w:spacing w:line="259" w:lineRule="auto" w:after="60"/>
      </w:pPr>
    </w:p>
    <w:p>
      <w:pPr>
        <w:pStyle w:val="Heading2"/>
        <w:spacing w:line="259" w:lineRule="auto" w:after="60"/>
      </w:pPr>
      <w:r>
        <w:rPr>
          <w:rFonts w:ascii="Times New Roman" w:hAnsi="Times New Roman"/>
        </w:rPr>
        <w:t>5. Empfehlung</w:t>
      </w:r>
    </w:p>
    <w:p>
      <w:pPr>
        <w:spacing w:line="259" w:lineRule="auto" w:after="60"/>
        <w:jc w:val="left"/>
      </w:pPr>
      <w:r>
        <w:rPr>
          <w:b/>
        </w:rPr>
        <w:t>Die Kanzlei empfiehlt Insolvenzplan in Eigenverwaltung (Option B)</w:t>
      </w:r>
      <w:r>
        <w:t>, und zwar aus folgenden Gründen:</w:t>
      </w:r>
    </w:p>
    <w:p>
      <w:pPr>
        <w:pStyle w:val="ListNumber"/>
        <w:spacing w:line="259" w:lineRule="auto" w:after="60"/>
      </w:pPr>
      <w:r>
        <w:t>Die Planung setzt eine Vorfinanzierung von rund 1350000 Euro voraus. Zeitraum, Anspruchsberechtigte, Nettoentgelt und Zustimmung der Agentur für Arbeit sind als offene Vollzugsbedingungen auszuweisen.</w:t>
      </w:r>
    </w:p>
    <w:p>
      <w:pPr>
        <w:pStyle w:val="ListNumber"/>
        <w:spacing w:line="259" w:lineRule="auto" w:after="60"/>
      </w:pPr>
      <w:r>
        <w:t>Alle Gläubiger werden planmäßig erfasst; das Risiko eines Einzelgläubiger-Angriffs ist gebannt.</w:t>
      </w:r>
    </w:p>
    <w:p>
      <w:pPr>
        <w:pStyle w:val="ListNumber"/>
        <w:spacing w:line="259" w:lineRule="auto" w:after="60"/>
      </w:pPr>
      <w:r>
        <w:t>Bei positiver Vergleichsrechnung ist ein Cram-Down gegen die NordBank AG möglich (Paragraf 245 InsO).</w:t>
      </w:r>
    </w:p>
    <w:p>
      <w:pPr>
        <w:pStyle w:val="ListNumber"/>
        <w:spacing w:line="259" w:lineRule="auto" w:after="60"/>
      </w:pPr>
      <w:r>
        <w:t>Die Lieferantenbeziehungen können durch transparente Kommunikation gestärkt werden.</w:t>
      </w:r>
    </w:p>
    <w:p>
      <w:pPr>
        <w:pStyle w:val="ListNumber"/>
        <w:spacing w:line="259" w:lineRule="auto" w:after="60"/>
      </w:pPr>
      <w:r>
        <w:t>Das AG Hamburg kennt Eigenverwaltungsverfahren gut; die Kanzlei Brandt &amp; Söhne als Sachwalter ist erfahren.</w:t>
      </w:r>
    </w:p>
    <w:p>
      <w:pPr>
        <w:spacing w:line="259" w:lineRule="auto" w:after="60"/>
        <w:jc w:val="left"/>
      </w:pPr>
      <w:r>
        <w:rPr>
          <w:b/>
        </w:rPr>
        <w:t>Bedingung:</w:t>
      </w:r>
      <w:r>
        <w:t xml:space="preserve"> Der Mandant muss sicherstellen, dass bis zum 16. Juni 2026 alle Plan-Unterlagen vollständig sind und der Antrag professionell gestellt wird. Jede Verzögerung erhöht das Risiko erneuter Zahlungsunfähigkeit.</w:t>
      </w:r>
    </w:p>
    <w:p>
      <w:pPr>
        <w:spacing w:line="259" w:lineRule="auto" w:after="60"/>
      </w:pPr>
    </w:p>
    <w:p>
      <w:pPr>
        <w:spacing w:line="259" w:lineRule="auto" w:after="60"/>
        <w:jc w:val="left"/>
      </w:pPr>
      <w:r>
        <w:rPr>
          <w:i/>
        </w:rPr>
        <w:t>Mandatsgespräch zur finalen Entscheidung: 13. Juni 2026, 14:00 Uhr, Kanzlei Westphal &amp; Partner.</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