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64D"/>
          <w:sz w:val="30"/>
        </w:rPr>
        <w:t>BIOMETRIK JENA GMBH</w:t>
      </w:r>
    </w:p>
    <w:p>
      <w:pPr>
        <w:jc w:val="center"/>
      </w:pPr>
      <w:r>
        <w:rPr>
          <w:sz w:val="18"/>
        </w:rPr>
        <w:t>Geschäftsführung | Vertrauliche Unternehmensunterlage</w:t>
      </w:r>
    </w:p>
    <w:p>
      <w:pPr>
        <w:jc w:val="center"/>
      </w:pPr>
      <w:r>
        <w:rPr>
          <w:sz w:val="17"/>
        </w:rPr>
        <w:t>Otto-Schott-Straße 14 | 07745 Jena | Telefon 03641 88720-0 | geschaeftsfuehrung@biometrik-jena.de</w:t>
      </w:r>
    </w:p>
    <w:p>
      <w:pPr>
        <w:pStyle w:val="Title"/>
      </w:pPr>
      <w:r>
        <w:t>Niederschrift der außerordentlichen Krisensitzung</w:t>
      </w:r>
    </w:p>
    <w:tbl>
      <w:tblPr>
        <w:tblStyle w:val="TableGrid"/>
        <w:tblW w:type="auto" w:w="0"/>
        <w:jc w:val="center"/>
        <w:tblLayout w:type="fixed"/>
        <w:tblLook w:firstColumn="1" w:firstRow="1" w:lastColumn="0" w:lastRow="0" w:noHBand="0" w:noVBand="1" w:val="04A0"/>
      </w:tblPr>
      <w:tblGrid>
        <w:gridCol w:w="4762"/>
        <w:gridCol w:w="4762"/>
      </w:tblGrid>
      <w:tr>
        <w:trPr>
          <w:cantSplit/>
        </w:trPr>
        <w:tc>
          <w:tcPr>
            <w:tcW w:type="dxa" w:w="2494"/>
            <w:vAlign w:val="top"/>
            <w:tcMar>
              <w:top w:w="90" w:type="dxa"/>
              <w:start w:w="90" w:type="dxa"/>
              <w:bottom w:w="90" w:type="dxa"/>
              <w:end w:w="90" w:type="dxa"/>
            </w:tcMar>
          </w:tcPr>
          <w:p>
            <w:r>
              <w:rPr>
                <w:rFonts w:ascii="Times New Roman" w:hAnsi="Times New Roman"/>
                <w:b/>
                <w:sz w:val="19"/>
              </w:rPr>
              <w:t>Termin</w:t>
            </w:r>
          </w:p>
        </w:tc>
        <w:tc>
          <w:tcPr>
            <w:tcW w:type="dxa" w:w="6463"/>
            <w:vAlign w:val="top"/>
            <w:tcMar>
              <w:top w:w="90" w:type="dxa"/>
              <w:start w:w="90" w:type="dxa"/>
              <w:bottom w:w="90" w:type="dxa"/>
              <w:end w:w="90" w:type="dxa"/>
            </w:tcMar>
          </w:tcPr>
          <w:p>
            <w:r>
              <w:rPr>
                <w:rFonts w:ascii="Times New Roman" w:hAnsi="Times New Roman"/>
                <w:sz w:val="19"/>
              </w:rPr>
              <w:t>29. Juni 2026, 07:35 Uhr bis 10:18 Uhr</w:t>
            </w:r>
          </w:p>
        </w:tc>
      </w:tr>
      <w:tr>
        <w:trPr>
          <w:cantSplit/>
        </w:trPr>
        <w:tc>
          <w:tcPr>
            <w:tcW w:type="dxa" w:w="2494"/>
            <w:vAlign w:val="top"/>
            <w:tcMar>
              <w:top w:w="90" w:type="dxa"/>
              <w:start w:w="90" w:type="dxa"/>
              <w:bottom w:w="90" w:type="dxa"/>
              <w:end w:w="90" w:type="dxa"/>
            </w:tcMar>
          </w:tcPr>
          <w:p>
            <w:r>
              <w:rPr>
                <w:rFonts w:ascii="Times New Roman" w:hAnsi="Times New Roman"/>
                <w:b/>
                <w:sz w:val="19"/>
              </w:rPr>
              <w:t>Ort</w:t>
            </w:r>
          </w:p>
        </w:tc>
        <w:tc>
          <w:tcPr>
            <w:tcW w:type="dxa" w:w="6463"/>
            <w:vAlign w:val="top"/>
            <w:tcMar>
              <w:top w:w="90" w:type="dxa"/>
              <w:start w:w="90" w:type="dxa"/>
              <w:bottom w:w="90" w:type="dxa"/>
              <w:end w:w="90" w:type="dxa"/>
            </w:tcMar>
          </w:tcPr>
          <w:p>
            <w:r>
              <w:rPr>
                <w:rFonts w:ascii="Times New Roman" w:hAnsi="Times New Roman"/>
                <w:sz w:val="19"/>
              </w:rPr>
              <w:t>Besprechungsraum Saale, Verwaltungstrakt Jena</w:t>
            </w:r>
          </w:p>
        </w:tc>
      </w:tr>
      <w:tr>
        <w:trPr>
          <w:cantSplit/>
        </w:trPr>
        <w:tc>
          <w:tcPr>
            <w:tcW w:type="dxa" w:w="2494"/>
            <w:vAlign w:val="top"/>
            <w:tcMar>
              <w:top w:w="90" w:type="dxa"/>
              <w:start w:w="90" w:type="dxa"/>
              <w:bottom w:w="90" w:type="dxa"/>
              <w:end w:w="90" w:type="dxa"/>
            </w:tcMar>
          </w:tcPr>
          <w:p>
            <w:r>
              <w:rPr>
                <w:rFonts w:ascii="Times New Roman" w:hAnsi="Times New Roman"/>
                <w:b/>
                <w:sz w:val="19"/>
              </w:rPr>
              <w:t>Teilnehmer</w:t>
            </w:r>
          </w:p>
        </w:tc>
        <w:tc>
          <w:tcPr>
            <w:tcW w:type="dxa" w:w="6463"/>
            <w:vAlign w:val="top"/>
            <w:tcMar>
              <w:top w:w="90" w:type="dxa"/>
              <w:start w:w="90" w:type="dxa"/>
              <w:bottom w:w="90" w:type="dxa"/>
              <w:end w:w="90" w:type="dxa"/>
            </w:tcMar>
          </w:tcPr>
          <w:p>
            <w:r>
              <w:rPr>
                <w:rFonts w:ascii="Times New Roman" w:hAnsi="Times New Roman"/>
                <w:sz w:val="19"/>
              </w:rPr>
              <w:t>Dr. Heike Lenz, Geschäftsführerin; Martin Riedel, CFO; Dr. Silas Baum, Technik; Jana Metz, Personal; Rechtsanwalt Dr. Nils Lindenhof per Video ab 08:05 Uhr</w:t>
            </w:r>
          </w:p>
        </w:tc>
      </w:tr>
      <w:tr>
        <w:trPr>
          <w:cantSplit/>
        </w:trPr>
        <w:tc>
          <w:tcPr>
            <w:tcW w:type="dxa" w:w="2494"/>
            <w:vAlign w:val="top"/>
            <w:tcMar>
              <w:top w:w="90" w:type="dxa"/>
              <w:start w:w="90" w:type="dxa"/>
              <w:bottom w:w="90" w:type="dxa"/>
              <w:end w:w="90" w:type="dxa"/>
            </w:tcMar>
          </w:tcPr>
          <w:p>
            <w:r>
              <w:rPr>
                <w:rFonts w:ascii="Times New Roman" w:hAnsi="Times New Roman"/>
                <w:b/>
                <w:sz w:val="19"/>
              </w:rPr>
              <w:t>Protokoll</w:t>
            </w:r>
          </w:p>
        </w:tc>
        <w:tc>
          <w:tcPr>
            <w:tcW w:type="dxa" w:w="6463"/>
            <w:vAlign w:val="top"/>
            <w:tcMar>
              <w:top w:w="90" w:type="dxa"/>
              <w:start w:w="90" w:type="dxa"/>
              <w:bottom w:w="90" w:type="dxa"/>
              <w:end w:w="90" w:type="dxa"/>
            </w:tcMar>
          </w:tcPr>
          <w:p>
            <w:r>
              <w:rPr>
                <w:rFonts w:ascii="Times New Roman" w:hAnsi="Times New Roman"/>
                <w:sz w:val="19"/>
              </w:rPr>
              <w:t>Tabea Schilling, Assistenz der Geschäftsführung</w:t>
            </w:r>
          </w:p>
        </w:tc>
      </w:tr>
      <w:tr>
        <w:trPr>
          <w:cantSplit/>
        </w:trPr>
        <w:tc>
          <w:tcPr>
            <w:tcW w:type="dxa" w:w="2494"/>
            <w:vAlign w:val="top"/>
            <w:tcMar>
              <w:top w:w="90" w:type="dxa"/>
              <w:start w:w="90" w:type="dxa"/>
              <w:bottom w:w="90" w:type="dxa"/>
              <w:end w:w="90" w:type="dxa"/>
            </w:tcMar>
          </w:tcPr>
          <w:p>
            <w:r>
              <w:rPr>
                <w:rFonts w:ascii="Times New Roman" w:hAnsi="Times New Roman"/>
                <w:b/>
                <w:sz w:val="19"/>
              </w:rPr>
              <w:t>Anlass</w:t>
            </w:r>
          </w:p>
        </w:tc>
        <w:tc>
          <w:tcPr>
            <w:tcW w:type="dxa" w:w="6463"/>
            <w:vAlign w:val="top"/>
            <w:tcMar>
              <w:top w:w="90" w:type="dxa"/>
              <w:start w:w="90" w:type="dxa"/>
              <w:bottom w:w="90" w:type="dxa"/>
              <w:end w:w="90" w:type="dxa"/>
            </w:tcMar>
          </w:tcPr>
          <w:p>
            <w:r>
              <w:rPr>
                <w:rFonts w:ascii="Times New Roman" w:hAnsi="Times New Roman"/>
                <w:sz w:val="19"/>
              </w:rPr>
              <w:t>Vorkasseforderung NanoSens, verzögerte FDA-Freigabe, Bonusforderung Helix Surgical, Covenant-Abfrage der Hausbank</w:t>
            </w:r>
          </w:p>
        </w:tc>
      </w:tr>
    </w:tbl>
    <w:p/>
    <w:p>
      <w:pPr>
        <w:pStyle w:val="Heading1"/>
      </w:pPr>
      <w:r>
        <w:t>1. Liquiditätslage</w:t>
      </w:r>
    </w:p>
    <w:p>
      <w:r>
        <w:t>Martin Riedel stellte die Kontostände vom 26. Juni und die Planung bis Kalenderwoche 39 vor. Für Kalenderwoche 30 ergibt sich bei Einbeziehung der Bonusforderung von Helix Surgical eine Unterdeckung von rund 1180000 EUR. Ohne diese Position weist die Planung eine verfügbare Reserve von 190000 EUR aus. Die zugesagte Kreditlinie ist nur noch mit 640000 EUR frei; eine weitere Ziehung ist von der Bank nicht bestätigt.</w:t>
      </w:r>
    </w:p>
    <w:p>
      <w:r>
        <w:t>Dr. Lenz erklärte, die Bonusforderung sei nach ihrer Erinnerung nicht verdient, weil der Abnahmetest verschoben worden sei. Ein unterschriebener Nachtrag liegt nicht vor. CFO Riedel verwies auf eine E-Mail vom 18. Februar 2026, in der ein Teilbetrag bei Erreichen von 80 Prozent der Liefermenge zugesagt worden sein könnte. Die Vertrags- und E-Mail-Unterlagen sollen noch am selben Tag vollständig zusammengestellt werden.</w:t>
      </w:r>
    </w:p>
    <w:p>
      <w:pPr>
        <w:pStyle w:val="Heading1"/>
      </w:pPr>
      <w:r>
        <w:t>2. Operativer Betrieb</w:t>
      </w: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1814"/>
            <w:vAlign w:val="center"/>
            <w:shd w:fill="DCE6EC"/>
            <w:tcMar>
              <w:top w:w="70" w:type="dxa"/>
              <w:start w:w="70" w:type="dxa"/>
              <w:bottom w:w="70" w:type="dxa"/>
              <w:end w:w="70" w:type="dxa"/>
            </w:tcMar>
          </w:tcPr>
          <w:p>
            <w:r>
              <w:rPr>
                <w:rFonts w:ascii="Times New Roman" w:hAnsi="Times New Roman"/>
                <w:b/>
                <w:sz w:val="17"/>
              </w:rPr>
              <w:t>Thema</w:t>
            </w:r>
          </w:p>
        </w:tc>
        <w:tc>
          <w:tcPr>
            <w:tcW w:type="dxa" w:w="3798"/>
            <w:vAlign w:val="center"/>
            <w:shd w:fill="DCE6EC"/>
            <w:tcMar>
              <w:top w:w="70" w:type="dxa"/>
              <w:start w:w="70" w:type="dxa"/>
              <w:bottom w:w="70" w:type="dxa"/>
              <w:end w:w="70" w:type="dxa"/>
            </w:tcMar>
          </w:tcPr>
          <w:p>
            <w:r>
              <w:rPr>
                <w:rFonts w:ascii="Times New Roman" w:hAnsi="Times New Roman"/>
                <w:b/>
                <w:sz w:val="17"/>
              </w:rPr>
              <w:t>Tatsachenstand</w:t>
            </w:r>
          </w:p>
        </w:tc>
        <w:tc>
          <w:tcPr>
            <w:tcW w:type="dxa" w:w="1701"/>
            <w:vAlign w:val="center"/>
            <w:shd w:fill="DCE6EC"/>
            <w:tcMar>
              <w:top w:w="70" w:type="dxa"/>
              <w:start w:w="70" w:type="dxa"/>
              <w:bottom w:w="70" w:type="dxa"/>
              <w:end w:w="70" w:type="dxa"/>
            </w:tcMar>
          </w:tcPr>
          <w:p>
            <w:r>
              <w:rPr>
                <w:rFonts w:ascii="Times New Roman" w:hAnsi="Times New Roman"/>
                <w:b/>
                <w:sz w:val="17"/>
              </w:rPr>
              <w:t>Verantwortlich</w:t>
            </w:r>
          </w:p>
        </w:tc>
        <w:tc>
          <w:tcPr>
            <w:tcW w:type="dxa" w:w="1644"/>
            <w:vAlign w:val="center"/>
            <w:shd w:fill="DCE6EC"/>
            <w:tcMar>
              <w:top w:w="70" w:type="dxa"/>
              <w:start w:w="70" w:type="dxa"/>
              <w:bottom w:w="70" w:type="dxa"/>
              <w:end w:w="70" w:type="dxa"/>
            </w:tcMar>
          </w:tcPr>
          <w:p>
            <w:r>
              <w:rPr>
                <w:rFonts w:ascii="Times New Roman" w:hAnsi="Times New Roman"/>
                <w:b/>
                <w:sz w:val="17"/>
              </w:rPr>
              <w:t>Termin</w:t>
            </w:r>
          </w:p>
        </w:tc>
      </w:tr>
      <w:tr>
        <w:trPr>
          <w:cantSplit/>
        </w:trPr>
        <w:tc>
          <w:tcPr>
            <w:tcW w:type="dxa" w:w="1814"/>
            <w:vAlign w:val="top"/>
            <w:tcMar>
              <w:top w:w="70" w:type="dxa"/>
              <w:start w:w="70" w:type="dxa"/>
              <w:bottom w:w="70" w:type="dxa"/>
              <w:end w:w="70" w:type="dxa"/>
            </w:tcMar>
          </w:tcPr>
          <w:p>
            <w:r>
              <w:rPr>
                <w:rFonts w:ascii="Times New Roman" w:hAnsi="Times New Roman"/>
                <w:sz w:val="17"/>
              </w:rPr>
              <w:t>Sensorcharge S-77</w:t>
            </w:r>
          </w:p>
        </w:tc>
        <w:tc>
          <w:tcPr>
            <w:tcW w:type="dxa" w:w="3798"/>
            <w:vAlign w:val="top"/>
            <w:tcMar>
              <w:top w:w="70" w:type="dxa"/>
              <w:start w:w="70" w:type="dxa"/>
              <w:bottom w:w="70" w:type="dxa"/>
              <w:end w:w="70" w:type="dxa"/>
            </w:tcMar>
          </w:tcPr>
          <w:p>
            <w:r>
              <w:rPr>
                <w:rFonts w:ascii="Times New Roman" w:hAnsi="Times New Roman"/>
                <w:sz w:val="17"/>
              </w:rPr>
              <w:t>Bestand reicht nach Produktionsleitung für fünf Arbeitstage; NanoSens verlangt Vorkasse</w:t>
            </w:r>
          </w:p>
        </w:tc>
        <w:tc>
          <w:tcPr>
            <w:tcW w:type="dxa" w:w="1701"/>
            <w:vAlign w:val="top"/>
            <w:tcMar>
              <w:top w:w="70" w:type="dxa"/>
              <w:start w:w="70" w:type="dxa"/>
              <w:bottom w:w="70" w:type="dxa"/>
              <w:end w:w="70" w:type="dxa"/>
            </w:tcMar>
          </w:tcPr>
          <w:p>
            <w:r>
              <w:rPr>
                <w:rFonts w:ascii="Times New Roman" w:hAnsi="Times New Roman"/>
                <w:sz w:val="17"/>
              </w:rPr>
              <w:t>Dr. Baum</w:t>
            </w:r>
          </w:p>
        </w:tc>
        <w:tc>
          <w:tcPr>
            <w:tcW w:type="dxa" w:w="1644"/>
            <w:vAlign w:val="top"/>
            <w:tcMar>
              <w:top w:w="70" w:type="dxa"/>
              <w:start w:w="70" w:type="dxa"/>
              <w:bottom w:w="70" w:type="dxa"/>
              <w:end w:w="70" w:type="dxa"/>
            </w:tcMar>
          </w:tcPr>
          <w:p>
            <w:r>
              <w:rPr>
                <w:rFonts w:ascii="Times New Roman" w:hAnsi="Times New Roman"/>
                <w:sz w:val="17"/>
              </w:rPr>
              <w:t>30.06., 12:00</w:t>
            </w:r>
          </w:p>
        </w:tc>
      </w:tr>
      <w:tr>
        <w:trPr>
          <w:cantSplit/>
        </w:trPr>
        <w:tc>
          <w:tcPr>
            <w:tcW w:type="dxa" w:w="1814"/>
            <w:vAlign w:val="top"/>
            <w:tcMar>
              <w:top w:w="70" w:type="dxa"/>
              <w:start w:w="70" w:type="dxa"/>
              <w:bottom w:w="70" w:type="dxa"/>
              <w:end w:w="70" w:type="dxa"/>
            </w:tcMar>
          </w:tcPr>
          <w:p>
            <w:r>
              <w:rPr>
                <w:rFonts w:ascii="Times New Roman" w:hAnsi="Times New Roman"/>
                <w:sz w:val="17"/>
              </w:rPr>
              <w:t>FDA-Freigabe</w:t>
            </w:r>
          </w:p>
        </w:tc>
        <w:tc>
          <w:tcPr>
            <w:tcW w:type="dxa" w:w="3798"/>
            <w:vAlign w:val="top"/>
            <w:tcMar>
              <w:top w:w="70" w:type="dxa"/>
              <w:start w:w="70" w:type="dxa"/>
              <w:bottom w:w="70" w:type="dxa"/>
              <w:end w:w="70" w:type="dxa"/>
            </w:tcMar>
          </w:tcPr>
          <w:p>
            <w:r>
              <w:rPr>
                <w:rFonts w:ascii="Times New Roman" w:hAnsi="Times New Roman"/>
                <w:sz w:val="17"/>
              </w:rPr>
              <w:t>Rückfrage der Behörde vom 24.06.; Antwortentwurf in Arbeit</w:t>
            </w:r>
          </w:p>
        </w:tc>
        <w:tc>
          <w:tcPr>
            <w:tcW w:type="dxa" w:w="1701"/>
            <w:vAlign w:val="top"/>
            <w:tcMar>
              <w:top w:w="70" w:type="dxa"/>
              <w:start w:w="70" w:type="dxa"/>
              <w:bottom w:w="70" w:type="dxa"/>
              <w:end w:w="70" w:type="dxa"/>
            </w:tcMar>
          </w:tcPr>
          <w:p>
            <w:r>
              <w:rPr>
                <w:rFonts w:ascii="Times New Roman" w:hAnsi="Times New Roman"/>
                <w:sz w:val="17"/>
              </w:rPr>
              <w:t>Dr. Baum</w:t>
            </w:r>
          </w:p>
        </w:tc>
        <w:tc>
          <w:tcPr>
            <w:tcW w:type="dxa" w:w="1644"/>
            <w:vAlign w:val="top"/>
            <w:tcMar>
              <w:top w:w="70" w:type="dxa"/>
              <w:start w:w="70" w:type="dxa"/>
              <w:bottom w:w="70" w:type="dxa"/>
              <w:end w:w="70" w:type="dxa"/>
            </w:tcMar>
          </w:tcPr>
          <w:p>
            <w:r>
              <w:rPr>
                <w:rFonts w:ascii="Times New Roman" w:hAnsi="Times New Roman"/>
                <w:sz w:val="17"/>
              </w:rPr>
              <w:t>02.07.</w:t>
            </w:r>
          </w:p>
        </w:tc>
      </w:tr>
      <w:tr>
        <w:trPr>
          <w:cantSplit/>
        </w:trPr>
        <w:tc>
          <w:tcPr>
            <w:tcW w:type="dxa" w:w="1814"/>
            <w:vAlign w:val="top"/>
            <w:tcMar>
              <w:top w:w="70" w:type="dxa"/>
              <w:start w:w="70" w:type="dxa"/>
              <w:bottom w:w="70" w:type="dxa"/>
              <w:end w:w="70" w:type="dxa"/>
            </w:tcMar>
          </w:tcPr>
          <w:p>
            <w:r>
              <w:rPr>
                <w:rFonts w:ascii="Times New Roman" w:hAnsi="Times New Roman"/>
                <w:sz w:val="17"/>
              </w:rPr>
              <w:t>Löhne Juli</w:t>
            </w:r>
          </w:p>
        </w:tc>
        <w:tc>
          <w:tcPr>
            <w:tcW w:type="dxa" w:w="3798"/>
            <w:vAlign w:val="top"/>
            <w:tcMar>
              <w:top w:w="70" w:type="dxa"/>
              <w:start w:w="70" w:type="dxa"/>
              <w:bottom w:w="70" w:type="dxa"/>
              <w:end w:w="70" w:type="dxa"/>
            </w:tcMar>
          </w:tcPr>
          <w:p>
            <w:r>
              <w:rPr>
                <w:rFonts w:ascii="Times New Roman" w:hAnsi="Times New Roman"/>
                <w:sz w:val="17"/>
              </w:rPr>
              <w:t>Zahlungsdatei 438000 EUR; Freigabe am 27.07. erforderlich</w:t>
            </w:r>
          </w:p>
        </w:tc>
        <w:tc>
          <w:tcPr>
            <w:tcW w:type="dxa" w:w="1701"/>
            <w:vAlign w:val="top"/>
            <w:tcMar>
              <w:top w:w="70" w:type="dxa"/>
              <w:start w:w="70" w:type="dxa"/>
              <w:bottom w:w="70" w:type="dxa"/>
              <w:end w:w="70" w:type="dxa"/>
            </w:tcMar>
          </w:tcPr>
          <w:p>
            <w:r>
              <w:rPr>
                <w:rFonts w:ascii="Times New Roman" w:hAnsi="Times New Roman"/>
                <w:sz w:val="17"/>
              </w:rPr>
              <w:t>Metz/Riedel</w:t>
            </w:r>
          </w:p>
        </w:tc>
        <w:tc>
          <w:tcPr>
            <w:tcW w:type="dxa" w:w="1644"/>
            <w:vAlign w:val="top"/>
            <w:tcMar>
              <w:top w:w="70" w:type="dxa"/>
              <w:start w:w="70" w:type="dxa"/>
              <w:bottom w:w="70" w:type="dxa"/>
              <w:end w:w="70" w:type="dxa"/>
            </w:tcMar>
          </w:tcPr>
          <w:p>
            <w:r>
              <w:rPr>
                <w:rFonts w:ascii="Times New Roman" w:hAnsi="Times New Roman"/>
                <w:sz w:val="17"/>
              </w:rPr>
              <w:t>15.07. Planprüfung</w:t>
            </w:r>
          </w:p>
        </w:tc>
      </w:tr>
      <w:tr>
        <w:trPr>
          <w:cantSplit/>
        </w:trPr>
        <w:tc>
          <w:tcPr>
            <w:tcW w:type="dxa" w:w="1814"/>
            <w:vAlign w:val="top"/>
            <w:tcMar>
              <w:top w:w="70" w:type="dxa"/>
              <w:start w:w="70" w:type="dxa"/>
              <w:bottom w:w="70" w:type="dxa"/>
              <w:end w:w="70" w:type="dxa"/>
            </w:tcMar>
          </w:tcPr>
          <w:p>
            <w:r>
              <w:rPr>
                <w:rFonts w:ascii="Times New Roman" w:hAnsi="Times New Roman"/>
                <w:sz w:val="17"/>
              </w:rPr>
              <w:t>Förderdarlehen</w:t>
            </w:r>
          </w:p>
        </w:tc>
        <w:tc>
          <w:tcPr>
            <w:tcW w:type="dxa" w:w="3798"/>
            <w:vAlign w:val="top"/>
            <w:tcMar>
              <w:top w:w="70" w:type="dxa"/>
              <w:start w:w="70" w:type="dxa"/>
              <w:bottom w:w="70" w:type="dxa"/>
              <w:end w:w="70" w:type="dxa"/>
            </w:tcMar>
          </w:tcPr>
          <w:p>
            <w:r>
              <w:rPr>
                <w:rFonts w:ascii="Times New Roman" w:hAnsi="Times New Roman"/>
                <w:sz w:val="17"/>
              </w:rPr>
              <w:t>Nächste Rate 175000 EUR am 31.07.; keine Stundung beantragt</w:t>
            </w:r>
          </w:p>
        </w:tc>
        <w:tc>
          <w:tcPr>
            <w:tcW w:type="dxa" w:w="1701"/>
            <w:vAlign w:val="top"/>
            <w:tcMar>
              <w:top w:w="70" w:type="dxa"/>
              <w:start w:w="70" w:type="dxa"/>
              <w:bottom w:w="70" w:type="dxa"/>
              <w:end w:w="70" w:type="dxa"/>
            </w:tcMar>
          </w:tcPr>
          <w:p>
            <w:r>
              <w:rPr>
                <w:rFonts w:ascii="Times New Roman" w:hAnsi="Times New Roman"/>
                <w:sz w:val="17"/>
              </w:rPr>
              <w:t>Riedel</w:t>
            </w:r>
          </w:p>
        </w:tc>
        <w:tc>
          <w:tcPr>
            <w:tcW w:type="dxa" w:w="1644"/>
            <w:vAlign w:val="top"/>
            <w:tcMar>
              <w:top w:w="70" w:type="dxa"/>
              <w:start w:w="70" w:type="dxa"/>
              <w:bottom w:w="70" w:type="dxa"/>
              <w:end w:w="70" w:type="dxa"/>
            </w:tcMar>
          </w:tcPr>
          <w:p>
            <w:r>
              <w:rPr>
                <w:rFonts w:ascii="Times New Roman" w:hAnsi="Times New Roman"/>
                <w:sz w:val="17"/>
              </w:rPr>
              <w:t>01.07.</w:t>
            </w:r>
          </w:p>
        </w:tc>
      </w:tr>
      <w:tr>
        <w:trPr>
          <w:cantSplit/>
        </w:trPr>
        <w:tc>
          <w:tcPr>
            <w:tcW w:type="dxa" w:w="1814"/>
            <w:vAlign w:val="top"/>
            <w:tcMar>
              <w:top w:w="70" w:type="dxa"/>
              <w:start w:w="70" w:type="dxa"/>
              <w:bottom w:w="70" w:type="dxa"/>
              <w:end w:w="70" w:type="dxa"/>
            </w:tcMar>
          </w:tcPr>
          <w:p>
            <w:r>
              <w:rPr>
                <w:rFonts w:ascii="Times New Roman" w:hAnsi="Times New Roman"/>
                <w:sz w:val="17"/>
              </w:rPr>
              <w:t>Hauptkunde OrthoNova</w:t>
            </w:r>
          </w:p>
        </w:tc>
        <w:tc>
          <w:tcPr>
            <w:tcW w:type="dxa" w:w="3798"/>
            <w:vAlign w:val="top"/>
            <w:tcMar>
              <w:top w:w="70" w:type="dxa"/>
              <w:start w:w="70" w:type="dxa"/>
              <w:bottom w:w="70" w:type="dxa"/>
              <w:end w:w="70" w:type="dxa"/>
            </w:tcMar>
          </w:tcPr>
          <w:p>
            <w:r>
              <w:rPr>
                <w:rFonts w:ascii="Times New Roman" w:hAnsi="Times New Roman"/>
                <w:sz w:val="17"/>
              </w:rPr>
              <w:t>Lieferabruf Juli bestätigt; Zahlung 820000 EUR für 05.08. angekündigt</w:t>
            </w:r>
          </w:p>
        </w:tc>
        <w:tc>
          <w:tcPr>
            <w:tcW w:type="dxa" w:w="1701"/>
            <w:vAlign w:val="top"/>
            <w:tcMar>
              <w:top w:w="70" w:type="dxa"/>
              <w:start w:w="70" w:type="dxa"/>
              <w:bottom w:w="70" w:type="dxa"/>
              <w:end w:w="70" w:type="dxa"/>
            </w:tcMar>
          </w:tcPr>
          <w:p>
            <w:r>
              <w:rPr>
                <w:rFonts w:ascii="Times New Roman" w:hAnsi="Times New Roman"/>
                <w:sz w:val="17"/>
              </w:rPr>
              <w:t>Dr. Lenz</w:t>
            </w:r>
          </w:p>
        </w:tc>
        <w:tc>
          <w:tcPr>
            <w:tcW w:type="dxa" w:w="1644"/>
            <w:vAlign w:val="top"/>
            <w:tcMar>
              <w:top w:w="70" w:type="dxa"/>
              <w:start w:w="70" w:type="dxa"/>
              <w:bottom w:w="70" w:type="dxa"/>
              <w:end w:w="70" w:type="dxa"/>
            </w:tcMar>
          </w:tcPr>
          <w:p>
            <w:r>
              <w:rPr>
                <w:rFonts w:ascii="Times New Roman" w:hAnsi="Times New Roman"/>
                <w:sz w:val="17"/>
              </w:rPr>
              <w:t>Schriftliche Bestätigung offen</w:t>
            </w:r>
          </w:p>
        </w:tc>
      </w:tr>
    </w:tbl>
    <w:p/>
    <w:p>
      <w:pPr>
        <w:pStyle w:val="Heading1"/>
      </w:pPr>
      <w:r>
        <w:t>3. Beschlüsse und Arbeitsaufträge</w:t>
      </w:r>
    </w:p>
    <w:p>
      <w:r>
        <w:t>Die Geschäftsführung beauftragt die tägliche Fortschreibung der Kontostände und eine 13-Wochen-Planung mit gesonderter Begründung jeder streitigen Position. Vertrag, Abnahmeprotokolle und E-Mail-Verkehr zur Helix-Forderung werden bis 30. Juni um 10:00 Uhr in einem eigenen Ordner abgelegt.</w:t>
      </w:r>
    </w:p>
    <w:p>
      <w:r>
        <w:t>Rechtsanwalt Dr. Lindenhof soll die Voraussetzungen einer Eigenverwaltung und eines Schutzschirms prüfen. Eine Entscheidung über einen Antrag wurde nicht getroffen. Gespräche mit Bank und Gesellschaftern werden vorbereitet; Zusagen dürfen nur schriftlich in die Planung aufgenommen werden.</w:t>
      </w:r>
    </w:p>
    <w:p>
      <w:pPr>
        <w:pStyle w:val="Heading1"/>
      </w:pPr>
      <w:r>
        <w:t>4. Nachträgliche Anmerkungen</w:t>
      </w:r>
    </w:p>
    <w:p>
      <w:r>
        <w:t>Um 11:47 Uhr meldete die Kreditorenbuchhaltung telefonisch, dass NanoSens die am Morgen versandte Bestellung gesperrt hat. Um 14:06 Uhr ging die Terminanfrage der Bank für den 7. Juli ein. Beide Vorgänge wurden der Geschäftsführung weitergeleitet.</w:t>
      </w:r>
    </w:p>
    <w:p>
      <w:r>
        <w:t>Jena, 29. Juni 2026</w:t>
        <w:br/>
        <w:br/>
        <w:t>Tabea Schilling, Protokollführung</w:t>
        <w:br/>
        <w:t>Gesehen: Dr. Heike Lenz, Geschäftsführerin</w:t>
      </w:r>
    </w:p>
    <w:sectPr w:rsidR="00FC693F" w:rsidRPr="0006063C" w:rsidSect="00034616">
      <w:footerReference w:type="default" r:id="rId9"/>
      <w:pgSz w:w="11906" w:h="16838"/>
      <w:pgMar w:top="1020" w:right="1134" w:bottom="96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F5F5F"/>
        <w:sz w:val="16"/>
      </w:rPr>
      <w:t xml:space="preserve">BioMetrik Jena GmbH | Krisensitzung 29. Juni 2026 | </w:t>
    </w:r>
    <w:r>
      <w:rPr>
        <w:rFonts w:ascii="Times New Roman" w:hAnsi="Times New Roman"/>
        <w:color w:val="5F5F5F"/>
        <w:sz w:val="16"/>
      </w:rPr>
      <w:t xml:space="preserve">Seite </w:t>
    </w:r>
    <w:r>
      <w:rPr>
        <w:rFonts w:ascii="Times New Roman" w:hAnsi="Times New Roman"/>
        <w:color w:val="5F5F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b/>
      <w:bCs/>
      <w:color w:val="2336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23364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80"/>
      <w:contextualSpacing/>
    </w:pPr>
    <w:rPr>
      <w:rFonts w:asciiTheme="majorHAnsi" w:eastAsiaTheme="majorEastAsia" w:hAnsiTheme="majorHAnsi" w:cstheme="majorBidi" w:ascii="Times New Roman" w:hAnsi="Times New Roman"/>
      <w:b/>
      <w:color w:val="23364D"/>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