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3364D"/>
          <w:sz w:val="30"/>
        </w:rPr>
        <w:t>BIOMETRIK JENA GMBH</w:t>
      </w:r>
    </w:p>
    <w:p>
      <w:pPr>
        <w:jc w:val="center"/>
      </w:pPr>
      <w:r>
        <w:rPr>
          <w:sz w:val="18"/>
        </w:rPr>
        <w:t>Finanzen und Controlling</w:t>
      </w:r>
    </w:p>
    <w:p>
      <w:pPr>
        <w:jc w:val="center"/>
      </w:pPr>
      <w:r>
        <w:rPr>
          <w:sz w:val="17"/>
        </w:rPr>
        <w:t>Otto-Schott-Straße 14 | 07745 Jena | Telefon 03641 88720-0 | controlling@biometrik-jena.de</w:t>
      </w:r>
    </w:p>
    <w:p>
      <w:pPr>
        <w:pStyle w:val="Title"/>
      </w:pPr>
      <w:r>
        <w:t>Erläuterung zur 13-Wochen-Liquiditätsplanung</w:t>
      </w:r>
    </w:p>
    <w:tbl>
      <w:tblPr>
        <w:tblStyle w:val="TableGrid"/>
        <w:tblW w:type="auto" w:w="0"/>
        <w:jc w:val="center"/>
        <w:tblLayout w:type="fixed"/>
        <w:tblLook w:firstColumn="1" w:firstRow="1" w:lastColumn="0" w:lastRow="0" w:noHBand="0" w:noVBand="1" w:val="04A0"/>
      </w:tblPr>
      <w:tblGrid>
        <w:gridCol w:w="4762"/>
        <w:gridCol w:w="4762"/>
      </w:tblGrid>
      <w:tr>
        <w:trPr>
          <w:cantSplit/>
        </w:trPr>
        <w:tc>
          <w:tcPr>
            <w:tcW w:type="dxa" w:w="2494"/>
            <w:vAlign w:val="top"/>
            <w:tcMar>
              <w:top w:w="90" w:type="dxa"/>
              <w:start w:w="90" w:type="dxa"/>
              <w:bottom w:w="90" w:type="dxa"/>
              <w:end w:w="90" w:type="dxa"/>
            </w:tcMar>
          </w:tcPr>
          <w:p>
            <w:r>
              <w:rPr>
                <w:rFonts w:ascii="Times New Roman" w:hAnsi="Times New Roman"/>
                <w:b/>
                <w:sz w:val="19"/>
              </w:rPr>
              <w:t>Planungszeitraum</w:t>
            </w:r>
          </w:p>
        </w:tc>
        <w:tc>
          <w:tcPr>
            <w:tcW w:type="dxa" w:w="6463"/>
            <w:vAlign w:val="top"/>
            <w:tcMar>
              <w:top w:w="90" w:type="dxa"/>
              <w:start w:w="90" w:type="dxa"/>
              <w:bottom w:w="90" w:type="dxa"/>
              <w:end w:w="90" w:type="dxa"/>
            </w:tcMar>
          </w:tcPr>
          <w:p>
            <w:r>
              <w:rPr>
                <w:rFonts w:ascii="Times New Roman" w:hAnsi="Times New Roman"/>
                <w:sz w:val="19"/>
              </w:rPr>
              <w:t>Kalenderwoche 27 bis Kalenderwoche 39 des Jahres 2026</w:t>
            </w:r>
          </w:p>
        </w:tc>
      </w:tr>
      <w:tr>
        <w:trPr>
          <w:cantSplit/>
        </w:trPr>
        <w:tc>
          <w:tcPr>
            <w:tcW w:type="dxa" w:w="2494"/>
            <w:vAlign w:val="top"/>
            <w:tcMar>
              <w:top w:w="90" w:type="dxa"/>
              <w:start w:w="90" w:type="dxa"/>
              <w:bottom w:w="90" w:type="dxa"/>
              <w:end w:w="90" w:type="dxa"/>
            </w:tcMar>
          </w:tcPr>
          <w:p>
            <w:r>
              <w:rPr>
                <w:rFonts w:ascii="Times New Roman" w:hAnsi="Times New Roman"/>
                <w:b/>
                <w:sz w:val="19"/>
              </w:rPr>
              <w:t>Datenstand</w:t>
            </w:r>
          </w:p>
        </w:tc>
        <w:tc>
          <w:tcPr>
            <w:tcW w:type="dxa" w:w="6463"/>
            <w:vAlign w:val="top"/>
            <w:tcMar>
              <w:top w:w="90" w:type="dxa"/>
              <w:start w:w="90" w:type="dxa"/>
              <w:bottom w:w="90" w:type="dxa"/>
              <w:end w:w="90" w:type="dxa"/>
            </w:tcMar>
          </w:tcPr>
          <w:p>
            <w:r>
              <w:rPr>
                <w:rFonts w:ascii="Times New Roman" w:hAnsi="Times New Roman"/>
                <w:sz w:val="19"/>
              </w:rPr>
              <w:t>3. Juli 2026, 06:45 Uhr</w:t>
            </w:r>
          </w:p>
        </w:tc>
      </w:tr>
      <w:tr>
        <w:trPr>
          <w:cantSplit/>
        </w:trPr>
        <w:tc>
          <w:tcPr>
            <w:tcW w:type="dxa" w:w="2494"/>
            <w:vAlign w:val="top"/>
            <w:tcMar>
              <w:top w:w="90" w:type="dxa"/>
              <w:start w:w="90" w:type="dxa"/>
              <w:bottom w:w="90" w:type="dxa"/>
              <w:end w:w="90" w:type="dxa"/>
            </w:tcMar>
          </w:tcPr>
          <w:p>
            <w:r>
              <w:rPr>
                <w:rFonts w:ascii="Times New Roman" w:hAnsi="Times New Roman"/>
                <w:b/>
                <w:sz w:val="19"/>
              </w:rPr>
              <w:t>Erstellt durch</w:t>
            </w:r>
          </w:p>
        </w:tc>
        <w:tc>
          <w:tcPr>
            <w:tcW w:type="dxa" w:w="6463"/>
            <w:vAlign w:val="top"/>
            <w:tcMar>
              <w:top w:w="90" w:type="dxa"/>
              <w:start w:w="90" w:type="dxa"/>
              <w:bottom w:w="90" w:type="dxa"/>
              <w:end w:w="90" w:type="dxa"/>
            </w:tcMar>
          </w:tcPr>
          <w:p>
            <w:r>
              <w:rPr>
                <w:rFonts w:ascii="Times New Roman" w:hAnsi="Times New Roman"/>
                <w:sz w:val="19"/>
              </w:rPr>
              <w:t>Martin Riedel, CFO; Lea Warmuth, Leiterin Controlling</w:t>
            </w:r>
          </w:p>
        </w:tc>
      </w:tr>
      <w:tr>
        <w:trPr>
          <w:cantSplit/>
        </w:trPr>
        <w:tc>
          <w:tcPr>
            <w:tcW w:type="dxa" w:w="2494"/>
            <w:vAlign w:val="top"/>
            <w:tcMar>
              <w:top w:w="90" w:type="dxa"/>
              <w:start w:w="90" w:type="dxa"/>
              <w:bottom w:w="90" w:type="dxa"/>
              <w:end w:w="90" w:type="dxa"/>
            </w:tcMar>
          </w:tcPr>
          <w:p>
            <w:r>
              <w:rPr>
                <w:rFonts w:ascii="Times New Roman" w:hAnsi="Times New Roman"/>
                <w:b/>
                <w:sz w:val="19"/>
              </w:rPr>
              <w:t>Konten</w:t>
            </w:r>
          </w:p>
        </w:tc>
        <w:tc>
          <w:tcPr>
            <w:tcW w:type="dxa" w:w="6463"/>
            <w:vAlign w:val="top"/>
            <w:tcMar>
              <w:top w:w="90" w:type="dxa"/>
              <w:start w:w="90" w:type="dxa"/>
              <w:bottom w:w="90" w:type="dxa"/>
              <w:end w:w="90" w:type="dxa"/>
            </w:tcMar>
          </w:tcPr>
          <w:p>
            <w:r>
              <w:rPr>
                <w:rFonts w:ascii="Times New Roman" w:hAnsi="Times New Roman"/>
                <w:sz w:val="19"/>
              </w:rPr>
              <w:t>Sparkasse Jena-Saale, Commerzbank und Landesförderbank</w:t>
            </w:r>
          </w:p>
        </w:tc>
      </w:tr>
      <w:tr>
        <w:trPr>
          <w:cantSplit/>
        </w:trPr>
        <w:tc>
          <w:tcPr>
            <w:tcW w:type="dxa" w:w="2494"/>
            <w:vAlign w:val="top"/>
            <w:tcMar>
              <w:top w:w="90" w:type="dxa"/>
              <w:start w:w="90" w:type="dxa"/>
              <w:bottom w:w="90" w:type="dxa"/>
              <w:end w:w="90" w:type="dxa"/>
            </w:tcMar>
          </w:tcPr>
          <w:p>
            <w:r>
              <w:rPr>
                <w:rFonts w:ascii="Times New Roman" w:hAnsi="Times New Roman"/>
                <w:b/>
                <w:sz w:val="19"/>
              </w:rPr>
              <w:t>Ausgangsbestand</w:t>
            </w:r>
          </w:p>
        </w:tc>
        <w:tc>
          <w:tcPr>
            <w:tcW w:type="dxa" w:w="6463"/>
            <w:vAlign w:val="top"/>
            <w:tcMar>
              <w:top w:w="90" w:type="dxa"/>
              <w:start w:w="90" w:type="dxa"/>
              <w:bottom w:w="90" w:type="dxa"/>
              <w:end w:w="90" w:type="dxa"/>
            </w:tcMar>
          </w:tcPr>
          <w:p>
            <w:r>
              <w:rPr>
                <w:rFonts w:ascii="Times New Roman" w:hAnsi="Times New Roman"/>
                <w:sz w:val="19"/>
              </w:rPr>
              <w:t>842000 EUR frei verfügbare Bankguthaben zum 3. Juli 2026</w:t>
            </w:r>
          </w:p>
        </w:tc>
      </w:tr>
    </w:tbl>
    <w:p/>
    <w:p>
      <w:pPr>
        <w:pStyle w:val="Heading1"/>
      </w:pPr>
      <w:r>
        <w:t>1. Erfassungsmethode</w:t>
      </w:r>
    </w:p>
    <w:p>
      <w:r>
        <w:t>Die Planung übernimmt fällige Zahlungsverpflichtungen mit ihrem vollen Betrag. Streitige Positionen werden nicht nach einer Prozesswahrscheinlichkeit gekürzt. Für jede Ein- oder Ausbuchung ist in der Tabellenanlage vermerkt, welche Vertrags-, Rechnungs- oder Kommunikationsunterlage den Ansatz trägt und wer die rechtliche oder tatsächliche Prüfung verantwortet.</w:t>
      </w:r>
    </w:p>
    <w:p>
      <w:r>
        <w:t>Erwartete Einzahlungen werden nur berücksichtigt, wenn Betrag und Zahlungstermin durch Rechnung, Abruf oder schriftliche Zusage hinreichend konkret belegt sind. Allgemeine Vertriebserwartungen und noch nicht bestätigte Fördermittel sind in der Hauptplanung nicht enthalten.</w:t>
      </w:r>
    </w:p>
    <w:p>
      <w:pPr>
        <w:pStyle w:val="Heading1"/>
      </w:pPr>
      <w:r>
        <w:t>2. Wesentliche Einzahlungen</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rPr>
          <w:tblHeader w:val="true"/>
        </w:trPr>
        <w:tc>
          <w:tcPr>
            <w:tcW w:type="dxa" w:w="2268"/>
            <w:vAlign w:val="center"/>
            <w:shd w:fill="DCE6EC"/>
            <w:tcMar>
              <w:top w:w="70" w:type="dxa"/>
              <w:start w:w="70" w:type="dxa"/>
              <w:bottom w:w="70" w:type="dxa"/>
              <w:end w:w="70" w:type="dxa"/>
            </w:tcMar>
          </w:tcPr>
          <w:p>
            <w:r>
              <w:rPr>
                <w:rFonts w:ascii="Times New Roman" w:hAnsi="Times New Roman"/>
                <w:b/>
                <w:sz w:val="17"/>
              </w:rPr>
              <w:t>Position</w:t>
            </w:r>
          </w:p>
        </w:tc>
        <w:tc>
          <w:tcPr>
            <w:tcW w:type="dxa" w:w="1417"/>
            <w:vAlign w:val="center"/>
            <w:shd w:fill="DCE6EC"/>
            <w:tcMar>
              <w:top w:w="70" w:type="dxa"/>
              <w:start w:w="70" w:type="dxa"/>
              <w:bottom w:w="70" w:type="dxa"/>
              <w:end w:w="70" w:type="dxa"/>
            </w:tcMar>
          </w:tcPr>
          <w:p>
            <w:r>
              <w:rPr>
                <w:rFonts w:ascii="Times New Roman" w:hAnsi="Times New Roman"/>
                <w:b/>
                <w:sz w:val="17"/>
              </w:rPr>
              <w:t>Betrag</w:t>
            </w:r>
          </w:p>
        </w:tc>
        <w:tc>
          <w:tcPr>
            <w:tcW w:type="dxa" w:w="1361"/>
            <w:vAlign w:val="center"/>
            <w:shd w:fill="DCE6EC"/>
            <w:tcMar>
              <w:top w:w="70" w:type="dxa"/>
              <w:start w:w="70" w:type="dxa"/>
              <w:bottom w:w="70" w:type="dxa"/>
              <w:end w:w="70" w:type="dxa"/>
            </w:tcMar>
          </w:tcPr>
          <w:p>
            <w:r>
              <w:rPr>
                <w:rFonts w:ascii="Times New Roman" w:hAnsi="Times New Roman"/>
                <w:b/>
                <w:sz w:val="17"/>
              </w:rPr>
              <w:t>Termin</w:t>
            </w:r>
          </w:p>
        </w:tc>
        <w:tc>
          <w:tcPr>
            <w:tcW w:type="dxa" w:w="2324"/>
            <w:vAlign w:val="center"/>
            <w:shd w:fill="DCE6EC"/>
            <w:tcMar>
              <w:top w:w="70" w:type="dxa"/>
              <w:start w:w="70" w:type="dxa"/>
              <w:bottom w:w="70" w:type="dxa"/>
              <w:end w:w="70" w:type="dxa"/>
            </w:tcMar>
          </w:tcPr>
          <w:p>
            <w:r>
              <w:rPr>
                <w:rFonts w:ascii="Times New Roman" w:hAnsi="Times New Roman"/>
                <w:b/>
                <w:sz w:val="17"/>
              </w:rPr>
              <w:t>Beleg</w:t>
            </w:r>
          </w:p>
        </w:tc>
        <w:tc>
          <w:tcPr>
            <w:tcW w:type="dxa" w:w="2154"/>
            <w:vAlign w:val="center"/>
            <w:shd w:fill="DCE6EC"/>
            <w:tcMar>
              <w:top w:w="70" w:type="dxa"/>
              <w:start w:w="70" w:type="dxa"/>
              <w:bottom w:w="70" w:type="dxa"/>
              <w:end w:w="70" w:type="dxa"/>
            </w:tcMar>
          </w:tcPr>
          <w:p>
            <w:r>
              <w:rPr>
                <w:rFonts w:ascii="Times New Roman" w:hAnsi="Times New Roman"/>
                <w:b/>
                <w:sz w:val="17"/>
              </w:rPr>
              <w:t>Unsicherheit</w:t>
            </w:r>
          </w:p>
        </w:tc>
      </w:tr>
      <w:tr>
        <w:trPr>
          <w:cantSplit/>
        </w:trPr>
        <w:tc>
          <w:tcPr>
            <w:tcW w:type="dxa" w:w="2268"/>
            <w:vAlign w:val="top"/>
            <w:tcMar>
              <w:top w:w="70" w:type="dxa"/>
              <w:start w:w="70" w:type="dxa"/>
              <w:bottom w:w="70" w:type="dxa"/>
              <w:end w:w="70" w:type="dxa"/>
            </w:tcMar>
          </w:tcPr>
          <w:p>
            <w:r>
              <w:rPr>
                <w:rFonts w:ascii="Times New Roman" w:hAnsi="Times New Roman"/>
                <w:sz w:val="17"/>
              </w:rPr>
              <w:t>OrthoNova Rechnung 260541</w:t>
            </w:r>
          </w:p>
        </w:tc>
        <w:tc>
          <w:tcPr>
            <w:tcW w:type="dxa" w:w="1417"/>
            <w:vAlign w:val="top"/>
            <w:tcMar>
              <w:top w:w="70" w:type="dxa"/>
              <w:start w:w="70" w:type="dxa"/>
              <w:bottom w:w="70" w:type="dxa"/>
              <w:end w:w="70" w:type="dxa"/>
            </w:tcMar>
          </w:tcPr>
          <w:p>
            <w:r>
              <w:rPr>
                <w:rFonts w:ascii="Times New Roman" w:hAnsi="Times New Roman"/>
                <w:sz w:val="17"/>
              </w:rPr>
              <w:t>820000 EUR</w:t>
            </w:r>
          </w:p>
        </w:tc>
        <w:tc>
          <w:tcPr>
            <w:tcW w:type="dxa" w:w="1361"/>
            <w:vAlign w:val="top"/>
            <w:tcMar>
              <w:top w:w="70" w:type="dxa"/>
              <w:start w:w="70" w:type="dxa"/>
              <w:bottom w:w="70" w:type="dxa"/>
              <w:end w:w="70" w:type="dxa"/>
            </w:tcMar>
          </w:tcPr>
          <w:p>
            <w:r>
              <w:rPr>
                <w:rFonts w:ascii="Times New Roman" w:hAnsi="Times New Roman"/>
                <w:sz w:val="17"/>
              </w:rPr>
              <w:t>05.08.2026</w:t>
            </w:r>
          </w:p>
        </w:tc>
        <w:tc>
          <w:tcPr>
            <w:tcW w:type="dxa" w:w="2324"/>
            <w:vAlign w:val="top"/>
            <w:tcMar>
              <w:top w:w="70" w:type="dxa"/>
              <w:start w:w="70" w:type="dxa"/>
              <w:bottom w:w="70" w:type="dxa"/>
              <w:end w:w="70" w:type="dxa"/>
            </w:tcMar>
          </w:tcPr>
          <w:p>
            <w:r>
              <w:rPr>
                <w:rFonts w:ascii="Times New Roman" w:hAnsi="Times New Roman"/>
                <w:sz w:val="17"/>
              </w:rPr>
              <w:t>Lieferabruf und Rechnung</w:t>
            </w:r>
          </w:p>
        </w:tc>
        <w:tc>
          <w:tcPr>
            <w:tcW w:type="dxa" w:w="2154"/>
            <w:vAlign w:val="top"/>
            <w:tcMar>
              <w:top w:w="70" w:type="dxa"/>
              <w:start w:w="70" w:type="dxa"/>
              <w:bottom w:w="70" w:type="dxa"/>
              <w:end w:w="70" w:type="dxa"/>
            </w:tcMar>
          </w:tcPr>
          <w:p>
            <w:r>
              <w:rPr>
                <w:rFonts w:ascii="Times New Roman" w:hAnsi="Times New Roman"/>
                <w:sz w:val="17"/>
              </w:rPr>
              <w:t>Zahlungstermin nur per E-Mail bestätigt</w:t>
            </w:r>
          </w:p>
        </w:tc>
      </w:tr>
      <w:tr>
        <w:trPr>
          <w:cantSplit/>
        </w:trPr>
        <w:tc>
          <w:tcPr>
            <w:tcW w:type="dxa" w:w="2268"/>
            <w:vAlign w:val="top"/>
            <w:tcMar>
              <w:top w:w="70" w:type="dxa"/>
              <w:start w:w="70" w:type="dxa"/>
              <w:bottom w:w="70" w:type="dxa"/>
              <w:end w:w="70" w:type="dxa"/>
            </w:tcMar>
          </w:tcPr>
          <w:p>
            <w:r>
              <w:rPr>
                <w:rFonts w:ascii="Times New Roman" w:hAnsi="Times New Roman"/>
                <w:sz w:val="17"/>
              </w:rPr>
              <w:t>Klinikverbund Saale Abschlag</w:t>
            </w:r>
          </w:p>
        </w:tc>
        <w:tc>
          <w:tcPr>
            <w:tcW w:type="dxa" w:w="1417"/>
            <w:vAlign w:val="top"/>
            <w:tcMar>
              <w:top w:w="70" w:type="dxa"/>
              <w:start w:w="70" w:type="dxa"/>
              <w:bottom w:w="70" w:type="dxa"/>
              <w:end w:w="70" w:type="dxa"/>
            </w:tcMar>
          </w:tcPr>
          <w:p>
            <w:r>
              <w:rPr>
                <w:rFonts w:ascii="Times New Roman" w:hAnsi="Times New Roman"/>
                <w:sz w:val="17"/>
              </w:rPr>
              <w:t>460000 EUR</w:t>
            </w:r>
          </w:p>
        </w:tc>
        <w:tc>
          <w:tcPr>
            <w:tcW w:type="dxa" w:w="1361"/>
            <w:vAlign w:val="top"/>
            <w:tcMar>
              <w:top w:w="70" w:type="dxa"/>
              <w:start w:w="70" w:type="dxa"/>
              <w:bottom w:w="70" w:type="dxa"/>
              <w:end w:w="70" w:type="dxa"/>
            </w:tcMar>
          </w:tcPr>
          <w:p>
            <w:r>
              <w:rPr>
                <w:rFonts w:ascii="Times New Roman" w:hAnsi="Times New Roman"/>
                <w:sz w:val="17"/>
              </w:rPr>
              <w:t>22.07.2026</w:t>
            </w:r>
          </w:p>
        </w:tc>
        <w:tc>
          <w:tcPr>
            <w:tcW w:type="dxa" w:w="2324"/>
            <w:vAlign w:val="top"/>
            <w:tcMar>
              <w:top w:w="70" w:type="dxa"/>
              <w:start w:w="70" w:type="dxa"/>
              <w:bottom w:w="70" w:type="dxa"/>
              <w:end w:w="70" w:type="dxa"/>
            </w:tcMar>
          </w:tcPr>
          <w:p>
            <w:r>
              <w:rPr>
                <w:rFonts w:ascii="Times New Roman" w:hAnsi="Times New Roman"/>
                <w:sz w:val="17"/>
              </w:rPr>
              <w:t>Abschlagsrechnung 260488</w:t>
            </w:r>
          </w:p>
        </w:tc>
        <w:tc>
          <w:tcPr>
            <w:tcW w:type="dxa" w:w="2154"/>
            <w:vAlign w:val="top"/>
            <w:tcMar>
              <w:top w:w="70" w:type="dxa"/>
              <w:start w:w="70" w:type="dxa"/>
              <w:bottom w:w="70" w:type="dxa"/>
              <w:end w:w="70" w:type="dxa"/>
            </w:tcMar>
          </w:tcPr>
          <w:p>
            <w:r>
              <w:rPr>
                <w:rFonts w:ascii="Times New Roman" w:hAnsi="Times New Roman"/>
                <w:sz w:val="17"/>
              </w:rPr>
              <w:t>Abnahmeprotokoll fehlt</w:t>
            </w:r>
          </w:p>
        </w:tc>
      </w:tr>
      <w:tr>
        <w:trPr>
          <w:cantSplit/>
        </w:trPr>
        <w:tc>
          <w:tcPr>
            <w:tcW w:type="dxa" w:w="2268"/>
            <w:vAlign w:val="top"/>
            <w:tcMar>
              <w:top w:w="70" w:type="dxa"/>
              <w:start w:w="70" w:type="dxa"/>
              <w:bottom w:w="70" w:type="dxa"/>
              <w:end w:w="70" w:type="dxa"/>
            </w:tcMar>
          </w:tcPr>
          <w:p>
            <w:r>
              <w:rPr>
                <w:rFonts w:ascii="Times New Roman" w:hAnsi="Times New Roman"/>
                <w:sz w:val="17"/>
              </w:rPr>
              <w:t>Umsatzsteuererstattung</w:t>
            </w:r>
          </w:p>
        </w:tc>
        <w:tc>
          <w:tcPr>
            <w:tcW w:type="dxa" w:w="1417"/>
            <w:vAlign w:val="top"/>
            <w:tcMar>
              <w:top w:w="70" w:type="dxa"/>
              <w:start w:w="70" w:type="dxa"/>
              <w:bottom w:w="70" w:type="dxa"/>
              <w:end w:w="70" w:type="dxa"/>
            </w:tcMar>
          </w:tcPr>
          <w:p>
            <w:r>
              <w:rPr>
                <w:rFonts w:ascii="Times New Roman" w:hAnsi="Times New Roman"/>
                <w:sz w:val="17"/>
              </w:rPr>
              <w:t>214000 EUR</w:t>
            </w:r>
          </w:p>
        </w:tc>
        <w:tc>
          <w:tcPr>
            <w:tcW w:type="dxa" w:w="1361"/>
            <w:vAlign w:val="top"/>
            <w:tcMar>
              <w:top w:w="70" w:type="dxa"/>
              <w:start w:w="70" w:type="dxa"/>
              <w:bottom w:w="70" w:type="dxa"/>
              <w:end w:w="70" w:type="dxa"/>
            </w:tcMar>
          </w:tcPr>
          <w:p>
            <w:r>
              <w:rPr>
                <w:rFonts w:ascii="Times New Roman" w:hAnsi="Times New Roman"/>
                <w:sz w:val="17"/>
              </w:rPr>
              <w:t>KW32</w:t>
            </w:r>
          </w:p>
        </w:tc>
        <w:tc>
          <w:tcPr>
            <w:tcW w:type="dxa" w:w="2324"/>
            <w:vAlign w:val="top"/>
            <w:tcMar>
              <w:top w:w="70" w:type="dxa"/>
              <w:start w:w="70" w:type="dxa"/>
              <w:bottom w:w="70" w:type="dxa"/>
              <w:end w:w="70" w:type="dxa"/>
            </w:tcMar>
          </w:tcPr>
          <w:p>
            <w:r>
              <w:rPr>
                <w:rFonts w:ascii="Times New Roman" w:hAnsi="Times New Roman"/>
                <w:sz w:val="17"/>
              </w:rPr>
              <w:t>Voranmeldung Juni</w:t>
            </w:r>
          </w:p>
        </w:tc>
        <w:tc>
          <w:tcPr>
            <w:tcW w:type="dxa" w:w="2154"/>
            <w:vAlign w:val="top"/>
            <w:tcMar>
              <w:top w:w="70" w:type="dxa"/>
              <w:start w:w="70" w:type="dxa"/>
              <w:bottom w:w="70" w:type="dxa"/>
              <w:end w:w="70" w:type="dxa"/>
            </w:tcMar>
          </w:tcPr>
          <w:p>
            <w:r>
              <w:rPr>
                <w:rFonts w:ascii="Times New Roman" w:hAnsi="Times New Roman"/>
                <w:sz w:val="17"/>
              </w:rPr>
              <w:t>Bearbeitungszeit Finanzamt offen</w:t>
            </w:r>
          </w:p>
        </w:tc>
      </w:tr>
      <w:tr>
        <w:trPr>
          <w:cantSplit/>
        </w:trPr>
        <w:tc>
          <w:tcPr>
            <w:tcW w:type="dxa" w:w="2268"/>
            <w:vAlign w:val="top"/>
            <w:tcMar>
              <w:top w:w="70" w:type="dxa"/>
              <w:start w:w="70" w:type="dxa"/>
              <w:bottom w:w="70" w:type="dxa"/>
              <w:end w:w="70" w:type="dxa"/>
            </w:tcMar>
          </w:tcPr>
          <w:p>
            <w:r>
              <w:rPr>
                <w:rFonts w:ascii="Times New Roman" w:hAnsi="Times New Roman"/>
                <w:sz w:val="17"/>
              </w:rPr>
              <w:t>Gesellschafterdarlehen</w:t>
            </w:r>
          </w:p>
        </w:tc>
        <w:tc>
          <w:tcPr>
            <w:tcW w:type="dxa" w:w="1417"/>
            <w:vAlign w:val="top"/>
            <w:tcMar>
              <w:top w:w="70" w:type="dxa"/>
              <w:start w:w="70" w:type="dxa"/>
              <w:bottom w:w="70" w:type="dxa"/>
              <w:end w:w="70" w:type="dxa"/>
            </w:tcMar>
          </w:tcPr>
          <w:p>
            <w:r>
              <w:rPr>
                <w:rFonts w:ascii="Times New Roman" w:hAnsi="Times New Roman"/>
                <w:sz w:val="17"/>
              </w:rPr>
              <w:t>750000 EUR</w:t>
            </w:r>
          </w:p>
        </w:tc>
        <w:tc>
          <w:tcPr>
            <w:tcW w:type="dxa" w:w="1361"/>
            <w:vAlign w:val="top"/>
            <w:tcMar>
              <w:top w:w="70" w:type="dxa"/>
              <w:start w:w="70" w:type="dxa"/>
              <w:bottom w:w="70" w:type="dxa"/>
              <w:end w:w="70" w:type="dxa"/>
            </w:tcMar>
          </w:tcPr>
          <w:p>
            <w:r>
              <w:rPr>
                <w:rFonts w:ascii="Times New Roman" w:hAnsi="Times New Roman"/>
                <w:sz w:val="17"/>
              </w:rPr>
              <w:t>offen</w:t>
            </w:r>
          </w:p>
        </w:tc>
        <w:tc>
          <w:tcPr>
            <w:tcW w:type="dxa" w:w="2324"/>
            <w:vAlign w:val="top"/>
            <w:tcMar>
              <w:top w:w="70" w:type="dxa"/>
              <w:start w:w="70" w:type="dxa"/>
              <w:bottom w:w="70" w:type="dxa"/>
              <w:end w:w="70" w:type="dxa"/>
            </w:tcMar>
          </w:tcPr>
          <w:p>
            <w:r>
              <w:rPr>
                <w:rFonts w:ascii="Times New Roman" w:hAnsi="Times New Roman"/>
                <w:sz w:val="17"/>
              </w:rPr>
              <w:t>Entwurf Rangrücktritt</w:t>
            </w:r>
          </w:p>
        </w:tc>
        <w:tc>
          <w:tcPr>
            <w:tcW w:type="dxa" w:w="2154"/>
            <w:vAlign w:val="top"/>
            <w:tcMar>
              <w:top w:w="70" w:type="dxa"/>
              <w:start w:w="70" w:type="dxa"/>
              <w:bottom w:w="70" w:type="dxa"/>
              <w:end w:w="70" w:type="dxa"/>
            </w:tcMar>
          </w:tcPr>
          <w:p>
            <w:r>
              <w:rPr>
                <w:rFonts w:ascii="Times New Roman" w:hAnsi="Times New Roman"/>
                <w:sz w:val="17"/>
              </w:rPr>
              <w:t>Keine Valutierungszusage; nicht in Hauptplanung</w:t>
            </w:r>
          </w:p>
        </w:tc>
      </w:tr>
    </w:tbl>
    <w:p/>
    <w:p>
      <w:pPr>
        <w:pStyle w:val="Heading1"/>
      </w:pPr>
      <w:r>
        <w:t>3. Wesentliche Auszahlungen</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rPr>
          <w:tblHeader w:val="true"/>
        </w:trPr>
        <w:tc>
          <w:tcPr>
            <w:tcW w:type="dxa" w:w="2268"/>
            <w:vAlign w:val="center"/>
            <w:shd w:fill="DCE6EC"/>
            <w:tcMar>
              <w:top w:w="70" w:type="dxa"/>
              <w:start w:w="70" w:type="dxa"/>
              <w:bottom w:w="70" w:type="dxa"/>
              <w:end w:w="70" w:type="dxa"/>
            </w:tcMar>
          </w:tcPr>
          <w:p>
            <w:r>
              <w:rPr>
                <w:rFonts w:ascii="Times New Roman" w:hAnsi="Times New Roman"/>
                <w:b/>
                <w:sz w:val="17"/>
              </w:rPr>
              <w:t>Position</w:t>
            </w:r>
          </w:p>
        </w:tc>
        <w:tc>
          <w:tcPr>
            <w:tcW w:type="dxa" w:w="1417"/>
            <w:vAlign w:val="center"/>
            <w:shd w:fill="DCE6EC"/>
            <w:tcMar>
              <w:top w:w="70" w:type="dxa"/>
              <w:start w:w="70" w:type="dxa"/>
              <w:bottom w:w="70" w:type="dxa"/>
              <w:end w:w="70" w:type="dxa"/>
            </w:tcMar>
          </w:tcPr>
          <w:p>
            <w:r>
              <w:rPr>
                <w:rFonts w:ascii="Times New Roman" w:hAnsi="Times New Roman"/>
                <w:b/>
                <w:sz w:val="17"/>
              </w:rPr>
              <w:t>Betrag</w:t>
            </w:r>
          </w:p>
        </w:tc>
        <w:tc>
          <w:tcPr>
            <w:tcW w:type="dxa" w:w="1587"/>
            <w:vAlign w:val="center"/>
            <w:shd w:fill="DCE6EC"/>
            <w:tcMar>
              <w:top w:w="70" w:type="dxa"/>
              <w:start w:w="70" w:type="dxa"/>
              <w:bottom w:w="70" w:type="dxa"/>
              <w:end w:w="70" w:type="dxa"/>
            </w:tcMar>
          </w:tcPr>
          <w:p>
            <w:r>
              <w:rPr>
                <w:rFonts w:ascii="Times New Roman" w:hAnsi="Times New Roman"/>
                <w:b/>
                <w:sz w:val="17"/>
              </w:rPr>
              <w:t>Fälligkeit</w:t>
            </w:r>
          </w:p>
        </w:tc>
        <w:tc>
          <w:tcPr>
            <w:tcW w:type="dxa" w:w="2551"/>
            <w:vAlign w:val="center"/>
            <w:shd w:fill="DCE6EC"/>
            <w:tcMar>
              <w:top w:w="70" w:type="dxa"/>
              <w:start w:w="70" w:type="dxa"/>
              <w:bottom w:w="70" w:type="dxa"/>
              <w:end w:w="70" w:type="dxa"/>
            </w:tcMar>
          </w:tcPr>
          <w:p>
            <w:r>
              <w:rPr>
                <w:rFonts w:ascii="Times New Roman" w:hAnsi="Times New Roman"/>
                <w:b/>
                <w:sz w:val="17"/>
              </w:rPr>
              <w:t>Behandlung</w:t>
            </w:r>
          </w:p>
        </w:tc>
        <w:tc>
          <w:tcPr>
            <w:tcW w:type="dxa" w:w="1701"/>
            <w:vAlign w:val="center"/>
            <w:shd w:fill="DCE6EC"/>
            <w:tcMar>
              <w:top w:w="70" w:type="dxa"/>
              <w:start w:w="70" w:type="dxa"/>
              <w:bottom w:w="70" w:type="dxa"/>
              <w:end w:w="70" w:type="dxa"/>
            </w:tcMar>
          </w:tcPr>
          <w:p>
            <w:r>
              <w:rPr>
                <w:rFonts w:ascii="Times New Roman" w:hAnsi="Times New Roman"/>
                <w:b/>
                <w:sz w:val="17"/>
              </w:rPr>
              <w:t>Fundstelle</w:t>
            </w:r>
          </w:p>
        </w:tc>
      </w:tr>
      <w:tr>
        <w:trPr>
          <w:cantSplit/>
        </w:trPr>
        <w:tc>
          <w:tcPr>
            <w:tcW w:type="dxa" w:w="2268"/>
            <w:vAlign w:val="top"/>
            <w:tcMar>
              <w:top w:w="70" w:type="dxa"/>
              <w:start w:w="70" w:type="dxa"/>
              <w:bottom w:w="70" w:type="dxa"/>
              <w:end w:w="70" w:type="dxa"/>
            </w:tcMar>
          </w:tcPr>
          <w:p>
            <w:r>
              <w:rPr>
                <w:rFonts w:ascii="Times New Roman" w:hAnsi="Times New Roman"/>
                <w:sz w:val="17"/>
              </w:rPr>
              <w:t>NanoSens Altverbindlichkeiten</w:t>
            </w:r>
          </w:p>
        </w:tc>
        <w:tc>
          <w:tcPr>
            <w:tcW w:type="dxa" w:w="1417"/>
            <w:vAlign w:val="top"/>
            <w:tcMar>
              <w:top w:w="70" w:type="dxa"/>
              <w:start w:w="70" w:type="dxa"/>
              <w:bottom w:w="70" w:type="dxa"/>
              <w:end w:w="70" w:type="dxa"/>
            </w:tcMar>
          </w:tcPr>
          <w:p>
            <w:r>
              <w:rPr>
                <w:rFonts w:ascii="Times New Roman" w:hAnsi="Times New Roman"/>
                <w:sz w:val="17"/>
              </w:rPr>
              <w:t>392000 EUR</w:t>
            </w:r>
          </w:p>
        </w:tc>
        <w:tc>
          <w:tcPr>
            <w:tcW w:type="dxa" w:w="1587"/>
            <w:vAlign w:val="top"/>
            <w:tcMar>
              <w:top w:w="70" w:type="dxa"/>
              <w:start w:w="70" w:type="dxa"/>
              <w:bottom w:w="70" w:type="dxa"/>
              <w:end w:w="70" w:type="dxa"/>
            </w:tcMar>
          </w:tcPr>
          <w:p>
            <w:r>
              <w:rPr>
                <w:rFonts w:ascii="Times New Roman" w:hAnsi="Times New Roman"/>
                <w:sz w:val="17"/>
              </w:rPr>
              <w:t>sofort</w:t>
            </w:r>
          </w:p>
        </w:tc>
        <w:tc>
          <w:tcPr>
            <w:tcW w:type="dxa" w:w="2551"/>
            <w:vAlign w:val="top"/>
            <w:tcMar>
              <w:top w:w="70" w:type="dxa"/>
              <w:start w:w="70" w:type="dxa"/>
              <w:bottom w:w="70" w:type="dxa"/>
              <w:end w:w="70" w:type="dxa"/>
            </w:tcMar>
          </w:tcPr>
          <w:p>
            <w:r>
              <w:rPr>
                <w:rFonts w:ascii="Times New Roman" w:hAnsi="Times New Roman"/>
                <w:sz w:val="17"/>
              </w:rPr>
              <w:t>voll eingestellt</w:t>
            </w:r>
          </w:p>
        </w:tc>
        <w:tc>
          <w:tcPr>
            <w:tcW w:type="dxa" w:w="1701"/>
            <w:vAlign w:val="top"/>
            <w:tcMar>
              <w:top w:w="70" w:type="dxa"/>
              <w:start w:w="70" w:type="dxa"/>
              <w:bottom w:w="70" w:type="dxa"/>
              <w:end w:w="70" w:type="dxa"/>
            </w:tcMar>
          </w:tcPr>
          <w:p>
            <w:r>
              <w:rPr>
                <w:rFonts w:ascii="Times New Roman" w:hAnsi="Times New Roman"/>
                <w:sz w:val="17"/>
              </w:rPr>
              <w:t>Mahnung 26.06. und OP-Liste</w:t>
            </w:r>
          </w:p>
        </w:tc>
      </w:tr>
      <w:tr>
        <w:trPr>
          <w:cantSplit/>
        </w:trPr>
        <w:tc>
          <w:tcPr>
            <w:tcW w:type="dxa" w:w="2268"/>
            <w:vAlign w:val="top"/>
            <w:tcMar>
              <w:top w:w="70" w:type="dxa"/>
              <w:start w:w="70" w:type="dxa"/>
              <w:bottom w:w="70" w:type="dxa"/>
              <w:end w:w="70" w:type="dxa"/>
            </w:tcMar>
          </w:tcPr>
          <w:p>
            <w:r>
              <w:rPr>
                <w:rFonts w:ascii="Times New Roman" w:hAnsi="Times New Roman"/>
                <w:sz w:val="17"/>
              </w:rPr>
              <w:t>NanoSens Vorkasse Charge S-77</w:t>
            </w:r>
          </w:p>
        </w:tc>
        <w:tc>
          <w:tcPr>
            <w:tcW w:type="dxa" w:w="1417"/>
            <w:vAlign w:val="top"/>
            <w:tcMar>
              <w:top w:w="70" w:type="dxa"/>
              <w:start w:w="70" w:type="dxa"/>
              <w:bottom w:w="70" w:type="dxa"/>
              <w:end w:w="70" w:type="dxa"/>
            </w:tcMar>
          </w:tcPr>
          <w:p>
            <w:r>
              <w:rPr>
                <w:rFonts w:ascii="Times New Roman" w:hAnsi="Times New Roman"/>
                <w:sz w:val="17"/>
              </w:rPr>
              <w:t>285000 EUR</w:t>
            </w:r>
          </w:p>
        </w:tc>
        <w:tc>
          <w:tcPr>
            <w:tcW w:type="dxa" w:w="1587"/>
            <w:vAlign w:val="top"/>
            <w:tcMar>
              <w:top w:w="70" w:type="dxa"/>
              <w:start w:w="70" w:type="dxa"/>
              <w:bottom w:w="70" w:type="dxa"/>
              <w:end w:w="70" w:type="dxa"/>
            </w:tcMar>
          </w:tcPr>
          <w:p>
            <w:r>
              <w:rPr>
                <w:rFonts w:ascii="Times New Roman" w:hAnsi="Times New Roman"/>
                <w:sz w:val="17"/>
              </w:rPr>
              <w:t>vor Versand</w:t>
            </w:r>
          </w:p>
        </w:tc>
        <w:tc>
          <w:tcPr>
            <w:tcW w:type="dxa" w:w="2551"/>
            <w:vAlign w:val="top"/>
            <w:tcMar>
              <w:top w:w="70" w:type="dxa"/>
              <w:start w:w="70" w:type="dxa"/>
              <w:bottom w:w="70" w:type="dxa"/>
              <w:end w:w="70" w:type="dxa"/>
            </w:tcMar>
          </w:tcPr>
          <w:p>
            <w:r>
              <w:rPr>
                <w:rFonts w:ascii="Times New Roman" w:hAnsi="Times New Roman"/>
                <w:sz w:val="17"/>
              </w:rPr>
              <w:t>KW28 eingestellt</w:t>
            </w:r>
          </w:p>
        </w:tc>
        <w:tc>
          <w:tcPr>
            <w:tcW w:type="dxa" w:w="1701"/>
            <w:vAlign w:val="top"/>
            <w:tcMar>
              <w:top w:w="70" w:type="dxa"/>
              <w:start w:w="70" w:type="dxa"/>
              <w:bottom w:w="70" w:type="dxa"/>
              <w:end w:w="70" w:type="dxa"/>
            </w:tcMar>
          </w:tcPr>
          <w:p>
            <w:r>
              <w:rPr>
                <w:rFonts w:ascii="Times New Roman" w:hAnsi="Times New Roman"/>
                <w:sz w:val="17"/>
              </w:rPr>
              <w:t>Pro-forma-Rechnung 98031</w:t>
            </w:r>
          </w:p>
        </w:tc>
      </w:tr>
      <w:tr>
        <w:trPr>
          <w:cantSplit/>
        </w:trPr>
        <w:tc>
          <w:tcPr>
            <w:tcW w:type="dxa" w:w="2268"/>
            <w:vAlign w:val="top"/>
            <w:tcMar>
              <w:top w:w="70" w:type="dxa"/>
              <w:start w:w="70" w:type="dxa"/>
              <w:bottom w:w="70" w:type="dxa"/>
              <w:end w:w="70" w:type="dxa"/>
            </w:tcMar>
          </w:tcPr>
          <w:p>
            <w:r>
              <w:rPr>
                <w:rFonts w:ascii="Times New Roman" w:hAnsi="Times New Roman"/>
                <w:sz w:val="17"/>
              </w:rPr>
              <w:t>Löhne und Gehälter Juli</w:t>
            </w:r>
          </w:p>
        </w:tc>
        <w:tc>
          <w:tcPr>
            <w:tcW w:type="dxa" w:w="1417"/>
            <w:vAlign w:val="top"/>
            <w:tcMar>
              <w:top w:w="70" w:type="dxa"/>
              <w:start w:w="70" w:type="dxa"/>
              <w:bottom w:w="70" w:type="dxa"/>
              <w:end w:w="70" w:type="dxa"/>
            </w:tcMar>
          </w:tcPr>
          <w:p>
            <w:r>
              <w:rPr>
                <w:rFonts w:ascii="Times New Roman" w:hAnsi="Times New Roman"/>
                <w:sz w:val="17"/>
              </w:rPr>
              <w:t>438000 EUR</w:t>
            </w:r>
          </w:p>
        </w:tc>
        <w:tc>
          <w:tcPr>
            <w:tcW w:type="dxa" w:w="1587"/>
            <w:vAlign w:val="top"/>
            <w:tcMar>
              <w:top w:w="70" w:type="dxa"/>
              <w:start w:w="70" w:type="dxa"/>
              <w:bottom w:w="70" w:type="dxa"/>
              <w:end w:w="70" w:type="dxa"/>
            </w:tcMar>
          </w:tcPr>
          <w:p>
            <w:r>
              <w:rPr>
                <w:rFonts w:ascii="Times New Roman" w:hAnsi="Times New Roman"/>
                <w:sz w:val="17"/>
              </w:rPr>
              <w:t>28.07.2026</w:t>
            </w:r>
          </w:p>
        </w:tc>
        <w:tc>
          <w:tcPr>
            <w:tcW w:type="dxa" w:w="2551"/>
            <w:vAlign w:val="top"/>
            <w:tcMar>
              <w:top w:w="70" w:type="dxa"/>
              <w:start w:w="70" w:type="dxa"/>
              <w:bottom w:w="70" w:type="dxa"/>
              <w:end w:w="70" w:type="dxa"/>
            </w:tcMar>
          </w:tcPr>
          <w:p>
            <w:r>
              <w:rPr>
                <w:rFonts w:ascii="Times New Roman" w:hAnsi="Times New Roman"/>
                <w:sz w:val="17"/>
              </w:rPr>
              <w:t>voll eingestellt</w:t>
            </w:r>
          </w:p>
        </w:tc>
        <w:tc>
          <w:tcPr>
            <w:tcW w:type="dxa" w:w="1701"/>
            <w:vAlign w:val="top"/>
            <w:tcMar>
              <w:top w:w="70" w:type="dxa"/>
              <w:start w:w="70" w:type="dxa"/>
              <w:bottom w:w="70" w:type="dxa"/>
              <w:end w:w="70" w:type="dxa"/>
            </w:tcMar>
          </w:tcPr>
          <w:p>
            <w:r>
              <w:rPr>
                <w:rFonts w:ascii="Times New Roman" w:hAnsi="Times New Roman"/>
                <w:sz w:val="17"/>
              </w:rPr>
              <w:t>Payroll-Lauf 07/2026</w:t>
            </w:r>
          </w:p>
        </w:tc>
      </w:tr>
      <w:tr>
        <w:trPr>
          <w:cantSplit/>
        </w:trPr>
        <w:tc>
          <w:tcPr>
            <w:tcW w:type="dxa" w:w="2268"/>
            <w:vAlign w:val="top"/>
            <w:tcMar>
              <w:top w:w="70" w:type="dxa"/>
              <w:start w:w="70" w:type="dxa"/>
              <w:bottom w:w="70" w:type="dxa"/>
              <w:end w:w="70" w:type="dxa"/>
            </w:tcMar>
          </w:tcPr>
          <w:p>
            <w:r>
              <w:rPr>
                <w:rFonts w:ascii="Times New Roman" w:hAnsi="Times New Roman"/>
                <w:sz w:val="17"/>
              </w:rPr>
              <w:t>Helix Surgical Bonus</w:t>
            </w:r>
          </w:p>
        </w:tc>
        <w:tc>
          <w:tcPr>
            <w:tcW w:type="dxa" w:w="1417"/>
            <w:vAlign w:val="top"/>
            <w:tcMar>
              <w:top w:w="70" w:type="dxa"/>
              <w:start w:w="70" w:type="dxa"/>
              <w:bottom w:w="70" w:type="dxa"/>
              <w:end w:w="70" w:type="dxa"/>
            </w:tcMar>
          </w:tcPr>
          <w:p>
            <w:r>
              <w:rPr>
                <w:rFonts w:ascii="Times New Roman" w:hAnsi="Times New Roman"/>
                <w:sz w:val="17"/>
              </w:rPr>
              <w:t>1180000 EUR</w:t>
            </w:r>
          </w:p>
        </w:tc>
        <w:tc>
          <w:tcPr>
            <w:tcW w:type="dxa" w:w="1587"/>
            <w:vAlign w:val="top"/>
            <w:tcMar>
              <w:top w:w="70" w:type="dxa"/>
              <w:start w:w="70" w:type="dxa"/>
              <w:bottom w:w="70" w:type="dxa"/>
              <w:end w:w="70" w:type="dxa"/>
            </w:tcMar>
          </w:tcPr>
          <w:p>
            <w:r>
              <w:rPr>
                <w:rFonts w:ascii="Times New Roman" w:hAnsi="Times New Roman"/>
                <w:sz w:val="17"/>
              </w:rPr>
              <w:t>von Helix zum 15.07. verlangt</w:t>
            </w:r>
          </w:p>
        </w:tc>
        <w:tc>
          <w:tcPr>
            <w:tcW w:type="dxa" w:w="2551"/>
            <w:vAlign w:val="top"/>
            <w:tcMar>
              <w:top w:w="70" w:type="dxa"/>
              <w:start w:w="70" w:type="dxa"/>
              <w:bottom w:w="70" w:type="dxa"/>
              <w:end w:w="70" w:type="dxa"/>
            </w:tcMar>
          </w:tcPr>
          <w:p>
            <w:r>
              <w:rPr>
                <w:rFonts w:ascii="Times New Roman" w:hAnsi="Times New Roman"/>
                <w:sz w:val="17"/>
              </w:rPr>
              <w:t>voll in Stressfall; Hauptfall nach Dokumentenprüfung offen</w:t>
            </w:r>
          </w:p>
        </w:tc>
        <w:tc>
          <w:tcPr>
            <w:tcW w:type="dxa" w:w="1701"/>
            <w:vAlign w:val="top"/>
            <w:tcMar>
              <w:top w:w="70" w:type="dxa"/>
              <w:start w:w="70" w:type="dxa"/>
              <w:bottom w:w="70" w:type="dxa"/>
              <w:end w:w="70" w:type="dxa"/>
            </w:tcMar>
          </w:tcPr>
          <w:p>
            <w:r>
              <w:rPr>
                <w:rFonts w:ascii="Times New Roman" w:hAnsi="Times New Roman"/>
                <w:sz w:val="17"/>
              </w:rPr>
              <w:t>Vertrag, Rechnung HS-771, E-Mail 18.02.</w:t>
            </w:r>
          </w:p>
        </w:tc>
      </w:tr>
      <w:tr>
        <w:trPr>
          <w:cantSplit/>
        </w:trPr>
        <w:tc>
          <w:tcPr>
            <w:tcW w:type="dxa" w:w="2268"/>
            <w:vAlign w:val="top"/>
            <w:tcMar>
              <w:top w:w="70" w:type="dxa"/>
              <w:start w:w="70" w:type="dxa"/>
              <w:bottom w:w="70" w:type="dxa"/>
              <w:end w:w="70" w:type="dxa"/>
            </w:tcMar>
          </w:tcPr>
          <w:p>
            <w:r>
              <w:rPr>
                <w:rFonts w:ascii="Times New Roman" w:hAnsi="Times New Roman"/>
                <w:sz w:val="17"/>
              </w:rPr>
              <w:t>Förderdarlehensrate</w:t>
            </w:r>
          </w:p>
        </w:tc>
        <w:tc>
          <w:tcPr>
            <w:tcW w:type="dxa" w:w="1417"/>
            <w:vAlign w:val="top"/>
            <w:tcMar>
              <w:top w:w="70" w:type="dxa"/>
              <w:start w:w="70" w:type="dxa"/>
              <w:bottom w:w="70" w:type="dxa"/>
              <w:end w:w="70" w:type="dxa"/>
            </w:tcMar>
          </w:tcPr>
          <w:p>
            <w:r>
              <w:rPr>
                <w:rFonts w:ascii="Times New Roman" w:hAnsi="Times New Roman"/>
                <w:sz w:val="17"/>
              </w:rPr>
              <w:t>175000 EUR</w:t>
            </w:r>
          </w:p>
        </w:tc>
        <w:tc>
          <w:tcPr>
            <w:tcW w:type="dxa" w:w="1587"/>
            <w:vAlign w:val="top"/>
            <w:tcMar>
              <w:top w:w="70" w:type="dxa"/>
              <w:start w:w="70" w:type="dxa"/>
              <w:bottom w:w="70" w:type="dxa"/>
              <w:end w:w="70" w:type="dxa"/>
            </w:tcMar>
          </w:tcPr>
          <w:p>
            <w:r>
              <w:rPr>
                <w:rFonts w:ascii="Times New Roman" w:hAnsi="Times New Roman"/>
                <w:sz w:val="17"/>
              </w:rPr>
              <w:t>31.07.2026</w:t>
            </w:r>
          </w:p>
        </w:tc>
        <w:tc>
          <w:tcPr>
            <w:tcW w:type="dxa" w:w="2551"/>
            <w:vAlign w:val="top"/>
            <w:tcMar>
              <w:top w:w="70" w:type="dxa"/>
              <w:start w:w="70" w:type="dxa"/>
              <w:bottom w:w="70" w:type="dxa"/>
              <w:end w:w="70" w:type="dxa"/>
            </w:tcMar>
          </w:tcPr>
          <w:p>
            <w:r>
              <w:rPr>
                <w:rFonts w:ascii="Times New Roman" w:hAnsi="Times New Roman"/>
                <w:sz w:val="17"/>
              </w:rPr>
              <w:t>voll eingestellt</w:t>
            </w:r>
          </w:p>
        </w:tc>
        <w:tc>
          <w:tcPr>
            <w:tcW w:type="dxa" w:w="1701"/>
            <w:vAlign w:val="top"/>
            <w:tcMar>
              <w:top w:w="70" w:type="dxa"/>
              <w:start w:w="70" w:type="dxa"/>
              <w:bottom w:w="70" w:type="dxa"/>
              <w:end w:w="70" w:type="dxa"/>
            </w:tcMar>
          </w:tcPr>
          <w:p>
            <w:r>
              <w:rPr>
                <w:rFonts w:ascii="Times New Roman" w:hAnsi="Times New Roman"/>
                <w:sz w:val="17"/>
              </w:rPr>
              <w:t>Tilgungsplan Landesförderbank</w:t>
            </w:r>
          </w:p>
        </w:tc>
      </w:tr>
    </w:tbl>
    <w:p/>
    <w:p>
      <w:pPr>
        <w:pStyle w:val="Heading1"/>
      </w:pPr>
      <w:r>
        <w:t>4. Abstimmung und offene Belege</w:t>
      </w:r>
    </w:p>
    <w:p>
      <w:r>
        <w:t>Die Summe der Kreditorenliste wurde mit dem Hauptbuch zum 30. Juni abgestimmt. Eine Differenz von 18400 EUR betrifft noch nicht gebuchte Frachtrechnungen und ist vorläufig in Kalenderwoche 28 enthalten. Für die Helix-Position fehlen das vollständige Gesprächsprotokoll vom 18. Februar und die finale Abnahmematrix.</w:t>
      </w:r>
    </w:p>
    <w:p>
      <w:r>
        <w:t>Die Planung ist täglich mit Kontoauszügen und Zahlungsfreigaben fortzuschreiben. Änderungen dürfen nicht nur überschrieben werden; Datum, Bearbeiter, alter Wert, neuer Wert und Beleg sind im Änderungsprotokoll festzuhalten.</w:t>
      </w:r>
    </w:p>
    <w:p>
      <w:r>
        <w:t>Jena, 3. Juli 2026</w:t>
        <w:br/>
        <w:br/>
        <w:t>Martin Riedel, CFO</w:t>
        <w:br/>
        <w:t>Lea Warmuth, Leiterin Controlling</w:t>
      </w:r>
    </w:p>
    <w:sectPr w:rsidR="00FC693F" w:rsidRPr="0006063C" w:rsidSect="00034616">
      <w:footerReference w:type="default" r:id="rId9"/>
      <w:pgSz w:w="11906" w:h="16838"/>
      <w:pgMar w:top="1020" w:right="1134" w:bottom="96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F5F5F"/>
        <w:sz w:val="16"/>
      </w:rPr>
      <w:t xml:space="preserve">BioMetrik Jena GmbH | Liquiditätsplanung KW27 bis KW39 | </w:t>
    </w:r>
    <w:r>
      <w:rPr>
        <w:rFonts w:ascii="Times New Roman" w:hAnsi="Times New Roman"/>
        <w:color w:val="5F5F5F"/>
        <w:sz w:val="16"/>
      </w:rPr>
      <w:t xml:space="preserve">Seite </w:t>
    </w:r>
    <w:r>
      <w:rPr>
        <w:rFonts w:ascii="Times New Roman" w:hAnsi="Times New Roman"/>
        <w:color w:val="5F5F5F"/>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b/>
      <w:bCs/>
      <w:color w:val="2336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23364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Times New Roman" w:hAnsi="Times New Roman"/>
      <w:b/>
      <w:color w:val="23364D"/>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