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3364D"/>
          <w:sz w:val="30"/>
        </w:rPr>
        <w:t>NANOSENS COMPONENTS GMBH</w:t>
      </w:r>
    </w:p>
    <w:p>
      <w:pPr>
        <w:jc w:val="center"/>
      </w:pPr>
      <w:r>
        <w:rPr>
          <w:sz w:val="18"/>
        </w:rPr>
        <w:t>Vertrieb und Debitorenmanagement</w:t>
      </w:r>
    </w:p>
    <w:p>
      <w:pPr>
        <w:jc w:val="center"/>
      </w:pPr>
      <w:r>
        <w:rPr>
          <w:sz w:val="17"/>
        </w:rPr>
        <w:t>Am Geraer Kreuz 7 | 07548 Gera | Telefon 0365 551880-0 | debitoren@nanosens-components.de</w:t>
      </w:r>
    </w:p>
    <w:p>
      <w:pPr>
        <w:pStyle w:val="Title"/>
      </w:pPr>
      <w:r>
        <w:t>Umstellung auf Vorkasse und vorläufige Liefersperre</w:t>
      </w:r>
    </w:p>
    <w:tbl>
      <w:tblPr>
        <w:tblStyle w:val="TableGrid"/>
        <w:tblW w:type="auto" w:w="0"/>
        <w:jc w:val="center"/>
        <w:tblLayout w:type="fixed"/>
        <w:tblLook w:firstColumn="1" w:firstRow="1" w:lastColumn="0" w:lastRow="0" w:noHBand="0" w:noVBand="1" w:val="04A0"/>
      </w:tblPr>
      <w:tblGrid>
        <w:gridCol w:w="4762"/>
        <w:gridCol w:w="4762"/>
      </w:tblGrid>
      <w:tr>
        <w:trPr>
          <w:cantSplit/>
        </w:trPr>
        <w:tc>
          <w:tcPr>
            <w:tcW w:type="dxa" w:w="2494"/>
            <w:vAlign w:val="top"/>
            <w:tcMar>
              <w:top w:w="90" w:type="dxa"/>
              <w:start w:w="90" w:type="dxa"/>
              <w:bottom w:w="90" w:type="dxa"/>
              <w:end w:w="90" w:type="dxa"/>
            </w:tcMar>
          </w:tcPr>
          <w:p>
            <w:r>
              <w:rPr>
                <w:rFonts w:ascii="Times New Roman" w:hAnsi="Times New Roman"/>
                <w:b/>
                <w:sz w:val="19"/>
              </w:rPr>
              <w:t>Empfängerin</w:t>
            </w:r>
          </w:p>
        </w:tc>
        <w:tc>
          <w:tcPr>
            <w:tcW w:type="dxa" w:w="6463"/>
            <w:vAlign w:val="top"/>
            <w:tcMar>
              <w:top w:w="90" w:type="dxa"/>
              <w:start w:w="90" w:type="dxa"/>
              <w:bottom w:w="90" w:type="dxa"/>
              <w:end w:w="90" w:type="dxa"/>
            </w:tcMar>
          </w:tcPr>
          <w:p>
            <w:r>
              <w:rPr>
                <w:rFonts w:ascii="Times New Roman" w:hAnsi="Times New Roman"/>
                <w:sz w:val="19"/>
              </w:rPr>
              <w:t>BioMetrik Jena GmbH, z. Hd. Einkauf, Otto-Schott-Straße 14, 07745 Jena</w:t>
            </w:r>
          </w:p>
        </w:tc>
      </w:tr>
      <w:tr>
        <w:trPr>
          <w:cantSplit/>
        </w:trPr>
        <w:tc>
          <w:tcPr>
            <w:tcW w:type="dxa" w:w="2494"/>
            <w:vAlign w:val="top"/>
            <w:tcMar>
              <w:top w:w="90" w:type="dxa"/>
              <w:start w:w="90" w:type="dxa"/>
              <w:bottom w:w="90" w:type="dxa"/>
              <w:end w:w="90" w:type="dxa"/>
            </w:tcMar>
          </w:tcPr>
          <w:p>
            <w:r>
              <w:rPr>
                <w:rFonts w:ascii="Times New Roman" w:hAnsi="Times New Roman"/>
                <w:b/>
                <w:sz w:val="19"/>
              </w:rPr>
              <w:t>Kundenkonto</w:t>
            </w:r>
          </w:p>
        </w:tc>
        <w:tc>
          <w:tcPr>
            <w:tcW w:type="dxa" w:w="6463"/>
            <w:vAlign w:val="top"/>
            <w:tcMar>
              <w:top w:w="90" w:type="dxa"/>
              <w:start w:w="90" w:type="dxa"/>
              <w:bottom w:w="90" w:type="dxa"/>
              <w:end w:w="90" w:type="dxa"/>
            </w:tcMar>
          </w:tcPr>
          <w:p>
            <w:r>
              <w:rPr>
                <w:rFonts w:ascii="Times New Roman" w:hAnsi="Times New Roman"/>
                <w:sz w:val="19"/>
              </w:rPr>
              <w:t>44810</w:t>
            </w:r>
          </w:p>
        </w:tc>
      </w:tr>
      <w:tr>
        <w:trPr>
          <w:cantSplit/>
        </w:trPr>
        <w:tc>
          <w:tcPr>
            <w:tcW w:type="dxa" w:w="2494"/>
            <w:vAlign w:val="top"/>
            <w:tcMar>
              <w:top w:w="90" w:type="dxa"/>
              <w:start w:w="90" w:type="dxa"/>
              <w:bottom w:w="90" w:type="dxa"/>
              <w:end w:w="90" w:type="dxa"/>
            </w:tcMar>
          </w:tcPr>
          <w:p>
            <w:r>
              <w:rPr>
                <w:rFonts w:ascii="Times New Roman" w:hAnsi="Times New Roman"/>
                <w:b/>
                <w:sz w:val="19"/>
              </w:rPr>
              <w:t>Unser Zeichen</w:t>
            </w:r>
          </w:p>
        </w:tc>
        <w:tc>
          <w:tcPr>
            <w:tcW w:type="dxa" w:w="6463"/>
            <w:vAlign w:val="top"/>
            <w:tcMar>
              <w:top w:w="90" w:type="dxa"/>
              <w:start w:w="90" w:type="dxa"/>
              <w:bottom w:w="90" w:type="dxa"/>
              <w:end w:w="90" w:type="dxa"/>
            </w:tcMar>
          </w:tcPr>
          <w:p>
            <w:r>
              <w:rPr>
                <w:rFonts w:ascii="Times New Roman" w:hAnsi="Times New Roman"/>
                <w:sz w:val="19"/>
              </w:rPr>
              <w:t>NS-DM/44810/2026-0626</w:t>
            </w:r>
          </w:p>
        </w:tc>
      </w:tr>
      <w:tr>
        <w:trPr>
          <w:cantSplit/>
        </w:trPr>
        <w:tc>
          <w:tcPr>
            <w:tcW w:type="dxa" w:w="2494"/>
            <w:vAlign w:val="top"/>
            <w:tcMar>
              <w:top w:w="90" w:type="dxa"/>
              <w:start w:w="90" w:type="dxa"/>
              <w:bottom w:w="90" w:type="dxa"/>
              <w:end w:w="90" w:type="dxa"/>
            </w:tcMar>
          </w:tcPr>
          <w:p>
            <w:r>
              <w:rPr>
                <w:rFonts w:ascii="Times New Roman" w:hAnsi="Times New Roman"/>
                <w:b/>
                <w:sz w:val="19"/>
              </w:rPr>
              <w:t>Datum</w:t>
            </w:r>
          </w:p>
        </w:tc>
        <w:tc>
          <w:tcPr>
            <w:tcW w:type="dxa" w:w="6463"/>
            <w:vAlign w:val="top"/>
            <w:tcMar>
              <w:top w:w="90" w:type="dxa"/>
              <w:start w:w="90" w:type="dxa"/>
              <w:bottom w:w="90" w:type="dxa"/>
              <w:end w:w="90" w:type="dxa"/>
            </w:tcMar>
          </w:tcPr>
          <w:p>
            <w:r>
              <w:rPr>
                <w:rFonts w:ascii="Times New Roman" w:hAnsi="Times New Roman"/>
                <w:sz w:val="19"/>
              </w:rPr>
              <w:t>26. Juni 2026</w:t>
            </w:r>
          </w:p>
        </w:tc>
      </w:tr>
      <w:tr>
        <w:trPr>
          <w:cantSplit/>
        </w:trPr>
        <w:tc>
          <w:tcPr>
            <w:tcW w:type="dxa" w:w="2494"/>
            <w:vAlign w:val="top"/>
            <w:tcMar>
              <w:top w:w="90" w:type="dxa"/>
              <w:start w:w="90" w:type="dxa"/>
              <w:bottom w:w="90" w:type="dxa"/>
              <w:end w:w="90" w:type="dxa"/>
            </w:tcMar>
          </w:tcPr>
          <w:p>
            <w:r>
              <w:rPr>
                <w:rFonts w:ascii="Times New Roman" w:hAnsi="Times New Roman"/>
                <w:b/>
                <w:sz w:val="19"/>
              </w:rPr>
              <w:t>Ansprechpartner</w:t>
            </w:r>
          </w:p>
        </w:tc>
        <w:tc>
          <w:tcPr>
            <w:tcW w:type="dxa" w:w="6463"/>
            <w:vAlign w:val="top"/>
            <w:tcMar>
              <w:top w:w="90" w:type="dxa"/>
              <w:start w:w="90" w:type="dxa"/>
              <w:bottom w:w="90" w:type="dxa"/>
              <w:end w:w="90" w:type="dxa"/>
            </w:tcMar>
          </w:tcPr>
          <w:p>
            <w:r>
              <w:rPr>
                <w:rFonts w:ascii="Times New Roman" w:hAnsi="Times New Roman"/>
                <w:sz w:val="19"/>
              </w:rPr>
              <w:t>Konrad Mühle, Debitorenmanagement, Durchwahl 0365 551880-37</w:t>
            </w:r>
          </w:p>
        </w:tc>
      </w:tr>
    </w:tbl>
    <w:p/>
    <w:p>
      <w:r>
        <w:t>Sehr geehrte Frau Teichert, sehr geehrter Herr Riedel,</w:t>
      </w:r>
    </w:p>
    <w:p>
      <w:r>
        <w:t>auf dem Kundenkonto stehen die nachfolgend bezeichneten Rechnungen trotz zweier Zahlungserinnerungen offen. Unsere Warenkreditversicherung hat den für Ihr Unternehmen verfügbaren Rahmen mit Wirkung zum 25. Juni 2026 ausgesetzt. Bis zur Klärung können wir neue Lieferungen daher nur gegen Vorkasse freigeben.</w:t>
      </w:r>
    </w:p>
    <w:tbl>
      <w:tblPr>
        <w:tblStyle w:val="TableGrid"/>
        <w:tblW w:type="auto" w:w="0"/>
        <w:jc w:val="center"/>
        <w:tblLayout w:type="fixed"/>
        <w:tblLook w:firstColumn="1" w:firstRow="1" w:lastColumn="0" w:lastRow="0" w:noHBand="0" w:noVBand="1" w:val="04A0"/>
      </w:tblPr>
      <w:tblGrid>
        <w:gridCol w:w="1905"/>
        <w:gridCol w:w="1905"/>
        <w:gridCol w:w="1905"/>
        <w:gridCol w:w="1905"/>
        <w:gridCol w:w="1905"/>
      </w:tblGrid>
      <w:tr>
        <w:trPr>
          <w:tblHeader w:val="true"/>
        </w:trPr>
        <w:tc>
          <w:tcPr>
            <w:tcW w:type="dxa" w:w="1701"/>
            <w:vAlign w:val="center"/>
            <w:shd w:fill="DCE6EC"/>
            <w:tcMar>
              <w:top w:w="70" w:type="dxa"/>
              <w:start w:w="70" w:type="dxa"/>
              <w:bottom w:w="70" w:type="dxa"/>
              <w:end w:w="70" w:type="dxa"/>
            </w:tcMar>
          </w:tcPr>
          <w:p>
            <w:r>
              <w:rPr>
                <w:rFonts w:ascii="Times New Roman" w:hAnsi="Times New Roman"/>
                <w:b/>
                <w:sz w:val="17"/>
              </w:rPr>
              <w:t>Rechnung</w:t>
            </w:r>
          </w:p>
        </w:tc>
        <w:tc>
          <w:tcPr>
            <w:tcW w:type="dxa" w:w="1531"/>
            <w:vAlign w:val="center"/>
            <w:shd w:fill="DCE6EC"/>
            <w:tcMar>
              <w:top w:w="70" w:type="dxa"/>
              <w:start w:w="70" w:type="dxa"/>
              <w:bottom w:w="70" w:type="dxa"/>
              <w:end w:w="70" w:type="dxa"/>
            </w:tcMar>
          </w:tcPr>
          <w:p>
            <w:r>
              <w:rPr>
                <w:rFonts w:ascii="Times New Roman" w:hAnsi="Times New Roman"/>
                <w:b/>
                <w:sz w:val="17"/>
              </w:rPr>
              <w:t>Datum</w:t>
            </w:r>
          </w:p>
        </w:tc>
        <w:tc>
          <w:tcPr>
            <w:tcW w:type="dxa" w:w="1531"/>
            <w:vAlign w:val="center"/>
            <w:shd w:fill="DCE6EC"/>
            <w:tcMar>
              <w:top w:w="70" w:type="dxa"/>
              <w:start w:w="70" w:type="dxa"/>
              <w:bottom w:w="70" w:type="dxa"/>
              <w:end w:w="70" w:type="dxa"/>
            </w:tcMar>
          </w:tcPr>
          <w:p>
            <w:r>
              <w:rPr>
                <w:rFonts w:ascii="Times New Roman" w:hAnsi="Times New Roman"/>
                <w:b/>
                <w:sz w:val="17"/>
              </w:rPr>
              <w:t>Fälligkeit</w:t>
            </w:r>
          </w:p>
        </w:tc>
        <w:tc>
          <w:tcPr>
            <w:tcW w:type="dxa" w:w="1701"/>
            <w:vAlign w:val="center"/>
            <w:shd w:fill="DCE6EC"/>
            <w:tcMar>
              <w:top w:w="70" w:type="dxa"/>
              <w:start w:w="70" w:type="dxa"/>
              <w:bottom w:w="70" w:type="dxa"/>
              <w:end w:w="70" w:type="dxa"/>
            </w:tcMar>
          </w:tcPr>
          <w:p>
            <w:r>
              <w:rPr>
                <w:rFonts w:ascii="Times New Roman" w:hAnsi="Times New Roman"/>
                <w:b/>
                <w:sz w:val="17"/>
              </w:rPr>
              <w:t>Betrag</w:t>
            </w:r>
          </w:p>
        </w:tc>
        <w:tc>
          <w:tcPr>
            <w:tcW w:type="dxa" w:w="2494"/>
            <w:vAlign w:val="center"/>
            <w:shd w:fill="DCE6EC"/>
            <w:tcMar>
              <w:top w:w="70" w:type="dxa"/>
              <w:start w:w="70" w:type="dxa"/>
              <w:bottom w:w="70" w:type="dxa"/>
              <w:end w:w="70" w:type="dxa"/>
            </w:tcMar>
          </w:tcPr>
          <w:p>
            <w:r>
              <w:rPr>
                <w:rFonts w:ascii="Times New Roman" w:hAnsi="Times New Roman"/>
                <w:b/>
                <w:sz w:val="17"/>
              </w:rPr>
              <w:t>Status</w:t>
            </w:r>
          </w:p>
        </w:tc>
      </w:tr>
      <w:tr>
        <w:trPr>
          <w:cantSplit/>
        </w:trPr>
        <w:tc>
          <w:tcPr>
            <w:tcW w:type="dxa" w:w="1701"/>
            <w:vAlign w:val="top"/>
            <w:tcMar>
              <w:top w:w="70" w:type="dxa"/>
              <w:start w:w="70" w:type="dxa"/>
              <w:bottom w:w="70" w:type="dxa"/>
              <w:end w:w="70" w:type="dxa"/>
            </w:tcMar>
          </w:tcPr>
          <w:p>
            <w:r>
              <w:rPr>
                <w:rFonts w:ascii="Times New Roman" w:hAnsi="Times New Roman"/>
                <w:sz w:val="17"/>
              </w:rPr>
              <w:t>NS-260144</w:t>
            </w:r>
          </w:p>
        </w:tc>
        <w:tc>
          <w:tcPr>
            <w:tcW w:type="dxa" w:w="1531"/>
            <w:vAlign w:val="top"/>
            <w:tcMar>
              <w:top w:w="70" w:type="dxa"/>
              <w:start w:w="70" w:type="dxa"/>
              <w:bottom w:w="70" w:type="dxa"/>
              <w:end w:w="70" w:type="dxa"/>
            </w:tcMar>
          </w:tcPr>
          <w:p>
            <w:r>
              <w:rPr>
                <w:rFonts w:ascii="Times New Roman" w:hAnsi="Times New Roman"/>
                <w:sz w:val="17"/>
              </w:rPr>
              <w:t>14.04.2026</w:t>
            </w:r>
          </w:p>
        </w:tc>
        <w:tc>
          <w:tcPr>
            <w:tcW w:type="dxa" w:w="1531"/>
            <w:vAlign w:val="top"/>
            <w:tcMar>
              <w:top w:w="70" w:type="dxa"/>
              <w:start w:w="70" w:type="dxa"/>
              <w:bottom w:w="70" w:type="dxa"/>
              <w:end w:w="70" w:type="dxa"/>
            </w:tcMar>
          </w:tcPr>
          <w:p>
            <w:r>
              <w:rPr>
                <w:rFonts w:ascii="Times New Roman" w:hAnsi="Times New Roman"/>
                <w:sz w:val="17"/>
              </w:rPr>
              <w:t>14.05.2026</w:t>
            </w:r>
          </w:p>
        </w:tc>
        <w:tc>
          <w:tcPr>
            <w:tcW w:type="dxa" w:w="1701"/>
            <w:vAlign w:val="top"/>
            <w:tcMar>
              <w:top w:w="70" w:type="dxa"/>
              <w:start w:w="70" w:type="dxa"/>
              <w:bottom w:w="70" w:type="dxa"/>
              <w:end w:w="70" w:type="dxa"/>
            </w:tcMar>
          </w:tcPr>
          <w:p>
            <w:r>
              <w:rPr>
                <w:rFonts w:ascii="Times New Roman" w:hAnsi="Times New Roman"/>
                <w:sz w:val="17"/>
              </w:rPr>
              <w:t>146000 EUR</w:t>
            </w:r>
          </w:p>
        </w:tc>
        <w:tc>
          <w:tcPr>
            <w:tcW w:type="dxa" w:w="2494"/>
            <w:vAlign w:val="top"/>
            <w:tcMar>
              <w:top w:w="70" w:type="dxa"/>
              <w:start w:w="70" w:type="dxa"/>
              <w:bottom w:w="70" w:type="dxa"/>
              <w:end w:w="70" w:type="dxa"/>
            </w:tcMar>
          </w:tcPr>
          <w:p>
            <w:r>
              <w:rPr>
                <w:rFonts w:ascii="Times New Roman" w:hAnsi="Times New Roman"/>
                <w:sz w:val="17"/>
              </w:rPr>
              <w:t>zweite Mahnung 18.06.</w:t>
            </w:r>
          </w:p>
        </w:tc>
      </w:tr>
      <w:tr>
        <w:trPr>
          <w:cantSplit/>
        </w:trPr>
        <w:tc>
          <w:tcPr>
            <w:tcW w:type="dxa" w:w="1701"/>
            <w:vAlign w:val="top"/>
            <w:tcMar>
              <w:top w:w="70" w:type="dxa"/>
              <w:start w:w="70" w:type="dxa"/>
              <w:bottom w:w="70" w:type="dxa"/>
              <w:end w:w="70" w:type="dxa"/>
            </w:tcMar>
          </w:tcPr>
          <w:p>
            <w:r>
              <w:rPr>
                <w:rFonts w:ascii="Times New Roman" w:hAnsi="Times New Roman"/>
                <w:sz w:val="17"/>
              </w:rPr>
              <w:t>NS-260198</w:t>
            </w:r>
          </w:p>
        </w:tc>
        <w:tc>
          <w:tcPr>
            <w:tcW w:type="dxa" w:w="1531"/>
            <w:vAlign w:val="top"/>
            <w:tcMar>
              <w:top w:w="70" w:type="dxa"/>
              <w:start w:w="70" w:type="dxa"/>
              <w:bottom w:w="70" w:type="dxa"/>
              <w:end w:w="70" w:type="dxa"/>
            </w:tcMar>
          </w:tcPr>
          <w:p>
            <w:r>
              <w:rPr>
                <w:rFonts w:ascii="Times New Roman" w:hAnsi="Times New Roman"/>
                <w:sz w:val="17"/>
              </w:rPr>
              <w:t>29.04.2026</w:t>
            </w:r>
          </w:p>
        </w:tc>
        <w:tc>
          <w:tcPr>
            <w:tcW w:type="dxa" w:w="1531"/>
            <w:vAlign w:val="top"/>
            <w:tcMar>
              <w:top w:w="70" w:type="dxa"/>
              <w:start w:w="70" w:type="dxa"/>
              <w:bottom w:w="70" w:type="dxa"/>
              <w:end w:w="70" w:type="dxa"/>
            </w:tcMar>
          </w:tcPr>
          <w:p>
            <w:r>
              <w:rPr>
                <w:rFonts w:ascii="Times New Roman" w:hAnsi="Times New Roman"/>
                <w:sz w:val="17"/>
              </w:rPr>
              <w:t>29.05.2026</w:t>
            </w:r>
          </w:p>
        </w:tc>
        <w:tc>
          <w:tcPr>
            <w:tcW w:type="dxa" w:w="1701"/>
            <w:vAlign w:val="top"/>
            <w:tcMar>
              <w:top w:w="70" w:type="dxa"/>
              <w:start w:w="70" w:type="dxa"/>
              <w:bottom w:w="70" w:type="dxa"/>
              <w:end w:w="70" w:type="dxa"/>
            </w:tcMar>
          </w:tcPr>
          <w:p>
            <w:r>
              <w:rPr>
                <w:rFonts w:ascii="Times New Roman" w:hAnsi="Times New Roman"/>
                <w:sz w:val="17"/>
              </w:rPr>
              <w:t>128000 EUR</w:t>
            </w:r>
          </w:p>
        </w:tc>
        <w:tc>
          <w:tcPr>
            <w:tcW w:type="dxa" w:w="2494"/>
            <w:vAlign w:val="top"/>
            <w:tcMar>
              <w:top w:w="70" w:type="dxa"/>
              <w:start w:w="70" w:type="dxa"/>
              <w:bottom w:w="70" w:type="dxa"/>
              <w:end w:w="70" w:type="dxa"/>
            </w:tcMar>
          </w:tcPr>
          <w:p>
            <w:r>
              <w:rPr>
                <w:rFonts w:ascii="Times New Roman" w:hAnsi="Times New Roman"/>
                <w:sz w:val="17"/>
              </w:rPr>
              <w:t>Zahlungszusage 20.06. nicht eingehalten</w:t>
            </w:r>
          </w:p>
        </w:tc>
      </w:tr>
      <w:tr>
        <w:trPr>
          <w:cantSplit/>
        </w:trPr>
        <w:tc>
          <w:tcPr>
            <w:tcW w:type="dxa" w:w="1701"/>
            <w:vAlign w:val="top"/>
            <w:tcMar>
              <w:top w:w="70" w:type="dxa"/>
              <w:start w:w="70" w:type="dxa"/>
              <w:bottom w:w="70" w:type="dxa"/>
              <w:end w:w="70" w:type="dxa"/>
            </w:tcMar>
          </w:tcPr>
          <w:p>
            <w:r>
              <w:rPr>
                <w:rFonts w:ascii="Times New Roman" w:hAnsi="Times New Roman"/>
                <w:sz w:val="17"/>
              </w:rPr>
              <w:t>NS-260233</w:t>
            </w:r>
          </w:p>
        </w:tc>
        <w:tc>
          <w:tcPr>
            <w:tcW w:type="dxa" w:w="1531"/>
            <w:vAlign w:val="top"/>
            <w:tcMar>
              <w:top w:w="70" w:type="dxa"/>
              <w:start w:w="70" w:type="dxa"/>
              <w:bottom w:w="70" w:type="dxa"/>
              <w:end w:w="70" w:type="dxa"/>
            </w:tcMar>
          </w:tcPr>
          <w:p>
            <w:r>
              <w:rPr>
                <w:rFonts w:ascii="Times New Roman" w:hAnsi="Times New Roman"/>
                <w:sz w:val="17"/>
              </w:rPr>
              <w:t>12.05.2026</w:t>
            </w:r>
          </w:p>
        </w:tc>
        <w:tc>
          <w:tcPr>
            <w:tcW w:type="dxa" w:w="1531"/>
            <w:vAlign w:val="top"/>
            <w:tcMar>
              <w:top w:w="70" w:type="dxa"/>
              <w:start w:w="70" w:type="dxa"/>
              <w:bottom w:w="70" w:type="dxa"/>
              <w:end w:w="70" w:type="dxa"/>
            </w:tcMar>
          </w:tcPr>
          <w:p>
            <w:r>
              <w:rPr>
                <w:rFonts w:ascii="Times New Roman" w:hAnsi="Times New Roman"/>
                <w:sz w:val="17"/>
              </w:rPr>
              <w:t>11.06.2026</w:t>
            </w:r>
          </w:p>
        </w:tc>
        <w:tc>
          <w:tcPr>
            <w:tcW w:type="dxa" w:w="1701"/>
            <w:vAlign w:val="top"/>
            <w:tcMar>
              <w:top w:w="70" w:type="dxa"/>
              <w:start w:w="70" w:type="dxa"/>
              <w:bottom w:w="70" w:type="dxa"/>
              <w:end w:w="70" w:type="dxa"/>
            </w:tcMar>
          </w:tcPr>
          <w:p>
            <w:r>
              <w:rPr>
                <w:rFonts w:ascii="Times New Roman" w:hAnsi="Times New Roman"/>
                <w:sz w:val="17"/>
              </w:rPr>
              <w:t>118000 EUR</w:t>
            </w:r>
          </w:p>
        </w:tc>
        <w:tc>
          <w:tcPr>
            <w:tcW w:type="dxa" w:w="2494"/>
            <w:vAlign w:val="top"/>
            <w:tcMar>
              <w:top w:w="70" w:type="dxa"/>
              <w:start w:w="70" w:type="dxa"/>
              <w:bottom w:w="70" w:type="dxa"/>
              <w:end w:w="70" w:type="dxa"/>
            </w:tcMar>
          </w:tcPr>
          <w:p>
            <w:r>
              <w:rPr>
                <w:rFonts w:ascii="Times New Roman" w:hAnsi="Times New Roman"/>
                <w:sz w:val="17"/>
              </w:rPr>
              <w:t>offen</w:t>
            </w:r>
          </w:p>
        </w:tc>
      </w:tr>
      <w:tr>
        <w:trPr>
          <w:cantSplit/>
        </w:trPr>
        <w:tc>
          <w:tcPr>
            <w:tcW w:type="dxa" w:w="1701"/>
            <w:vAlign w:val="top"/>
            <w:tcMar>
              <w:top w:w="70" w:type="dxa"/>
              <w:start w:w="70" w:type="dxa"/>
              <w:bottom w:w="70" w:type="dxa"/>
              <w:end w:w="70" w:type="dxa"/>
            </w:tcMar>
          </w:tcPr>
          <w:p>
            <w:r>
              <w:rPr>
                <w:rFonts w:ascii="Times New Roman" w:hAnsi="Times New Roman"/>
                <w:sz w:val="17"/>
              </w:rPr>
              <w:t>Gesamt</w:t>
            </w:r>
          </w:p>
        </w:tc>
        <w:tc>
          <w:tcPr>
            <w:tcW w:type="dxa" w:w="1531"/>
            <w:vAlign w:val="top"/>
            <w:tcMar>
              <w:top w:w="70" w:type="dxa"/>
              <w:start w:w="70" w:type="dxa"/>
              <w:bottom w:w="70" w:type="dxa"/>
              <w:end w:w="70" w:type="dxa"/>
            </w:tcMar>
          </w:tcPr>
          <w:p>
            <w:r>
              <w:rPr>
                <w:rFonts w:ascii="Times New Roman" w:hAnsi="Times New Roman"/>
                <w:sz w:val="17"/>
              </w:rPr>
            </w:r>
          </w:p>
        </w:tc>
        <w:tc>
          <w:tcPr>
            <w:tcW w:type="dxa" w:w="1531"/>
            <w:vAlign w:val="top"/>
            <w:tcMar>
              <w:top w:w="70" w:type="dxa"/>
              <w:start w:w="70" w:type="dxa"/>
              <w:bottom w:w="70" w:type="dxa"/>
              <w:end w:w="70" w:type="dxa"/>
            </w:tcMar>
          </w:tcPr>
          <w:p>
            <w:r>
              <w:rPr>
                <w:rFonts w:ascii="Times New Roman" w:hAnsi="Times New Roman"/>
                <w:sz w:val="17"/>
              </w:rPr>
            </w:r>
          </w:p>
        </w:tc>
        <w:tc>
          <w:tcPr>
            <w:tcW w:type="dxa" w:w="1701"/>
            <w:vAlign w:val="top"/>
            <w:tcMar>
              <w:top w:w="70" w:type="dxa"/>
              <w:start w:w="70" w:type="dxa"/>
              <w:bottom w:w="70" w:type="dxa"/>
              <w:end w:w="70" w:type="dxa"/>
            </w:tcMar>
          </w:tcPr>
          <w:p>
            <w:r>
              <w:rPr>
                <w:rFonts w:ascii="Times New Roman" w:hAnsi="Times New Roman"/>
                <w:sz w:val="17"/>
              </w:rPr>
              <w:t>392000 EUR</w:t>
            </w:r>
          </w:p>
        </w:tc>
        <w:tc>
          <w:tcPr>
            <w:tcW w:type="dxa" w:w="2494"/>
            <w:vAlign w:val="top"/>
            <w:tcMar>
              <w:top w:w="70" w:type="dxa"/>
              <w:start w:w="70" w:type="dxa"/>
              <w:bottom w:w="70" w:type="dxa"/>
              <w:end w:w="70" w:type="dxa"/>
            </w:tcMar>
          </w:tcPr>
          <w:p>
            <w:r>
              <w:rPr>
                <w:rFonts w:ascii="Times New Roman" w:hAnsi="Times New Roman"/>
                <w:sz w:val="17"/>
              </w:rPr>
            </w:r>
          </w:p>
        </w:tc>
      </w:tr>
    </w:tbl>
    <w:p/>
    <w:p>
      <w:r>
        <w:t>Die für Bestellung BJ-771 vorgesehene Sensorcharge S-77 mit einem Nettowarenwert von 285000 EUR ist kommissioniert, wird aber nicht verladen. Bei Zahlungseingang bis 30. Juni 2026 um 12:00 Uhr können wir nach derzeitiger Planung am 1. Juli ab Werk versenden. Eine Reservierung über diesen Zeitpunkt hinaus ist wegen anderer Kundenabrufe nicht zugesagt.</w:t>
      </w:r>
    </w:p>
    <w:p>
      <w:r>
        <w:t>Bitte teilen Sie uns bis 29. Juni um 15:00 Uhr mit, ob Sie die offenen Rechnungen ausgleichen und die Pro-forma-Rechnung 98031 annehmen. Gespräche über einen Zahlungsplan sind möglich, heben die Liefersperre aber erst nach schriftlicher Vereinbarung auf.</w:t>
      </w:r>
    </w:p>
    <w:p>
      <w:r>
        <w:t>Mit freundlichen Grüßen</w:t>
        <w:br/>
        <w:br/>
        <w:t>Konrad Mühle</w:t>
        <w:br/>
        <w:t>Leiter Debitorenmanagement</w:t>
      </w:r>
    </w:p>
    <w:p>
      <w:r>
        <w:t>Anlagen: Offene-Posten-Auszug vom 26. Juni 2026; Pro-forma-Rechnung 98031; Packliste Charge S-77</w:t>
      </w:r>
    </w:p>
    <w:sectPr w:rsidR="00FC693F" w:rsidRPr="0006063C" w:rsidSect="00034616">
      <w:footerReference w:type="default" r:id="rId9"/>
      <w:pgSz w:w="11906" w:h="16838"/>
      <w:pgMar w:top="1020" w:right="1134" w:bottom="96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F5F5F"/>
        <w:sz w:val="16"/>
      </w:rPr>
      <w:t xml:space="preserve">NanoSens Components GmbH | Kundenkonto 44810 | </w:t>
    </w:r>
    <w:r>
      <w:rPr>
        <w:rFonts w:ascii="Times New Roman" w:hAnsi="Times New Roman"/>
        <w:color w:val="5F5F5F"/>
        <w:sz w:val="16"/>
      </w:rPr>
      <w:t xml:space="preserve">Seite </w:t>
    </w:r>
    <w:r>
      <w:rPr>
        <w:rFonts w:ascii="Times New Roman" w:hAnsi="Times New Roman"/>
        <w:color w:val="5F5F5F"/>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b/>
      <w:bCs/>
      <w:color w:val="2336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b/>
      <w:bCs/>
      <w:color w:val="23364D"/>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80"/>
      <w:contextualSpacing/>
    </w:pPr>
    <w:rPr>
      <w:rFonts w:asciiTheme="majorHAnsi" w:eastAsiaTheme="majorEastAsia" w:hAnsiTheme="majorHAnsi" w:cstheme="majorBidi" w:ascii="Times New Roman" w:hAnsi="Times New Roman"/>
      <w:b/>
      <w:color w:val="23364D"/>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