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Antrag auf Eröffnung, vorläufige Eigenverwaltung und Schutzschirm</w:t>
      </w:r>
    </w:p>
    <w:p>
      <w:r>
        <w:t>An das Amtsgericht Jena, Insolvenzabteilung</w:t>
      </w:r>
    </w:p>
    <w:p>
      <w:r>
        <w:t>In dem Insolvenzeröffnungsverfahren der BioMetrik Jena GmbH, vertreten durch die Geschäftsführerin Dr. Elisa Frantzen, beantragen wir:</w:t>
      </w:r>
    </w:p>
    <w:p>
      <w:r>
        <w:t>1. Die Eröffnung des Insolvenzverfahrens über das Vermögen der BioMetrik Jena GmbH wegen drohender Zahlungsunfähigkeit (Paragraf 18 InsO) und Überschuldung (Paragraf 19 InsO).</w:t>
      </w:r>
    </w:p>
    <w:p>
      <w:r>
        <w:t>2. Die Anordnung der vorläufigen Eigenverwaltung nach Paragraf 270b InsO.</w:t>
      </w:r>
    </w:p>
    <w:p>
      <w:r>
        <w:t>3. Die Bestimmung einer Frist zur Vorlage eines Insolvenzplans von höchstens drei Monaten nach Paragraf 270d Absatz 1 Satz 2 InsO.</w:t>
      </w:r>
    </w:p>
    <w:p>
      <w:r>
        <w:t>4. Herrn Rechtsanwalt Dr. Jonas Wehnert, Erfurt, nach Paragraf 270b Absatz 1 InsO zum vorläufigen Sachwalter zu bestellen; der Vorschlag erfolgt nach Paragraf 270d Absatz 2 InsO.</w:t>
      </w:r>
    </w:p>
    <w:p>
      <w:r>
        <w:t>Der Antrag stützt sich auf die beigefügte, mit Gründen versehene Bescheinigung einer in Insolvenzsachen erfahrenen Person nach Paragraf 270d Absatz 1 Satz 1 InsO. Danach liegen drohende Zahlungsunfähigkeit und Überschuldung, aber keine Zahlungsunfähigkeit vor; die angestrebte Sanierung ist nicht offensichtlich aussichtslos.</w:t>
      </w:r>
    </w:p>
    <w:p>
      <w:r>
        <w:t>Anlagen: Bescheinigung nach Paragraf 270d InsO, 13-Wochen-Liquiditätsplan, Eigenverwaltungsplanung nach Paragraf 270a InsO, Sanierungsgutachten nach IDW S 6, Jahresabschlüsse 2024/2025, Handelsregisterauszug.</w:t>
      </w:r>
    </w:p>
    <w:p/>
    <w:p>
      <w:r>
        <w:t>Lindenhof und Partner mbB, RA Dr. Fabian Sandhof, Jena, 03.07.2026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