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StaRUG-Alternativroute – Kritische Prüfnotiz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Az.: 7 IN 41/26 – Möbelwerk Havelberg GmbH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Verfasserin: Dr. Nora Westphal, Insolvenzverwalterin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Stand: 01.07.2026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Charakter: Rückblickende Prüfung / Lehrnotiz für Vergleichszwecke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Vorbemerkung</w:t>
      </w:r>
    </w:p>
    <w:p>
      <w:pPr>
        <w:spacing w:line="259" w:lineRule="auto" w:after="60"/>
        <w:jc w:val="left"/>
      </w:pPr>
      <w:r>
        <w:t xml:space="preserve">Diese Notiz ist </w:t>
      </w:r>
      <w:r>
        <w:rPr>
          <w:b/>
        </w:rPr>
        <w:t>bewusst kritisch</w:t>
      </w:r>
      <w:r>
        <w:t xml:space="preserve"> angelegt und dient primär als interne Vergleichsunterlage für die Schlussbesprechung. Sie prüft hypothetisch, ob und unter welchen Bedingungen das Unternehmensstabilisierungs- und Restrukturierungsgesetz (StaRUG, in Kraft seit 01.01.2021) im Fall der Möbelwerk Havelberg GmbH hätte angewendet werden können – und warum es im konkreten Fall aus rechtlichen und tatsächlichen Gründen ausscheidet.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I. Grundstruktur des StaRUG</w:t>
      </w:r>
    </w:p>
    <w:p>
      <w:pPr>
        <w:spacing w:line="259" w:lineRule="auto" w:after="60"/>
        <w:jc w:val="left"/>
      </w:pPr>
      <w:r>
        <w:t xml:space="preserve">Das StaRUG (SanInsFOG, BGBl. I 2020 S. 3256) ermöglicht Schuldnern, die sich in der </w:t>
      </w:r>
      <w:r>
        <w:rPr>
          <w:b/>
        </w:rPr>
        <w:t>drohenden Zahlungsunfähigkeit</w:t>
      </w:r>
      <w:r>
        <w:t xml:space="preserve"> (Paragraf 18 InsO) befinden, einen </w:t>
      </w:r>
      <w:r>
        <w:rPr>
          <w:b/>
        </w:rPr>
        <w:t>Restrukturierungsplan</w:t>
      </w:r>
      <w:r>
        <w:t xml:space="preserve"> (Paragrafen 2 ff. StaRUG) durchzusetzen – ohne Eröffnung eines Insolvenzverfahrens. Kerninstrumente: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Instrument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Restrukturierungsplan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Paragrafen 2–26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Gestaltung von Gläubigerrechten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Moratorium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Paragrafen 49–59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Stabilisierungsanordnung (Vollstreckungsschutz)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Gerichtliche Planbestätigung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Paragrafen 60–66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Minderheitenschutz bei dissentierenden Gruppen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Restrukturierungsbeauftragter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Paragrafen 73–83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Überwachung; Pflicht wenn Gläubiger nicht zustimmen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Neue Finanzierung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12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Privilegierung von Massefinanzierungen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Prüfung der Anwendungsvoraussetzungen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II.1 Drohende Zahlungsunfähigkeit (Paragraf 18 InsO) – Zeithorizont</w:t>
      </w:r>
    </w:p>
    <w:p>
      <w:pPr>
        <w:spacing w:line="259" w:lineRule="auto" w:after="60"/>
        <w:jc w:val="left"/>
      </w:pPr>
      <w:r>
        <w:rPr>
          <w:b/>
        </w:rPr>
        <w:t>Voraussetzung:</w:t>
      </w:r>
      <w:r>
        <w:t xml:space="preserve"> Der Schuldner muss bei Einleitung des StaRUG-Verfahrens </w:t>
      </w:r>
      <w:r>
        <w:rPr>
          <w:b/>
        </w:rPr>
        <w:t>voraussichtlich zahlungsunfähig</w:t>
      </w:r>
      <w:r>
        <w:t xml:space="preserve"> werden (18-Monats-Prognose), aber noch nicht </w:t>
      </w:r>
      <w:r>
        <w:rPr>
          <w:b/>
        </w:rPr>
        <w:t>tatsächlich zahlungsunfähig</w:t>
      </w:r>
      <w:r>
        <w:t xml:space="preserve"> sein.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Liquiditätsstatus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Deckungslücke bei weitem Liquiditätsbegriff ca. 28 %, noch nicht ZU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Erstmals Lieferantenrücklastschrift; erste ZU-Indizien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Rücklastschrift Furnier Nord GmbH: ZU eingetreten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Insolvenzantrag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Ergebnis:</w:t>
      </w:r>
      <w:r>
        <w:t xml:space="preserve"> Ein StaRUG-Verfahren wäre allenfalls zwischen </w:t>
      </w:r>
      <w:r>
        <w:rPr>
          <w:b/>
        </w:rPr>
        <w:t>01.01.2026 und 14.02.2026</w:t>
      </w:r>
      <w:r>
        <w:t xml:space="preserve"> zulässig gewesen, wenn der Geschäftsführer zu diesem Zeitpunkt eine belastbare Planung für die drohende ZU vorgelegt hätte. Ab 22.03.2026 war ZU eingetreten – StaRUG scheidet aus.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II.2 Nur Finanzgläubiger – Breite des Eingriffs</w:t>
      </w:r>
    </w:p>
    <w:p>
      <w:pPr>
        <w:spacing w:line="259" w:lineRule="auto" w:after="60"/>
        <w:jc w:val="left"/>
      </w:pPr>
      <w:r>
        <w:rPr>
          <w:b/>
        </w:rPr>
        <w:t>Voraussetzung:</w:t>
      </w:r>
      <w:r>
        <w:t xml:space="preserve"> Der Restrukturierungsplan darf nur Forderungen gestalten, die ausdrücklich einbezogen sind. Arbeitnehmer, Verbraucher, Kleinstgläubiger (&lt; 10.000 EUR) und ungesicherte Lieferantenforderungen können zwar einbezogen werden, aber es bestehen erhebliche Akzeptanzrisiken.</w:t>
      </w:r>
    </w:p>
    <w:p>
      <w:pPr>
        <w:spacing w:line="259" w:lineRule="auto" w:after="60"/>
        <w:jc w:val="left"/>
      </w:pPr>
      <w:r>
        <w:t>Im Fall Möbelwerk Havelberg wären die wesentlichen Gläubiger:</w:t>
      </w:r>
    </w:p>
    <w:p>
      <w:pPr>
        <w:pStyle w:val="ListBullet"/>
        <w:spacing w:line="259" w:lineRule="auto" w:after="60"/>
      </w:pPr>
      <w:r>
        <w:t xml:space="preserve">Havelbank eG (Finanzgläubiger) → </w:t>
      </w:r>
      <w:r>
        <w:rPr>
          <w:b/>
        </w:rPr>
        <w:t>StaRUG-geeignet</w:t>
      </w:r>
    </w:p>
    <w:p>
      <w:pPr>
        <w:pStyle w:val="ListBullet"/>
        <w:spacing w:line="259" w:lineRule="auto" w:after="60"/>
      </w:pPr>
      <w:r>
        <w:t xml:space="preserve">Furnier Nord GmbH (Lieferant) → </w:t>
      </w:r>
      <w:r>
        <w:rPr>
          <w:b/>
        </w:rPr>
        <w:t>grenzwertig</w:t>
      </w:r>
      <w:r>
        <w:t>, erfordert Einbeziehung</w:t>
      </w:r>
    </w:p>
    <w:p>
      <w:pPr>
        <w:pStyle w:val="ListBullet"/>
        <w:spacing w:line="259" w:lineRule="auto" w:after="60"/>
      </w:pPr>
      <w:r>
        <w:t xml:space="preserve">Finanzamt Stendal (öffentlich-rechtlich) → </w:t>
      </w:r>
      <w:r>
        <w:rPr>
          <w:b/>
        </w:rPr>
        <w:t>kaum gestaltbar</w:t>
      </w:r>
      <w:r>
        <w:t xml:space="preserve"> (Paragraf 4 StaRUG: öffentlich-rechtliche Forderungen nur bei ausdrücklichem Einschluss; Zustimmung FA praktisch ausgeschlossen)</w:t>
      </w:r>
    </w:p>
    <w:p>
      <w:pPr>
        <w:pStyle w:val="ListBullet"/>
        <w:spacing w:line="259" w:lineRule="auto" w:after="60"/>
      </w:pPr>
      <w:r>
        <w:t xml:space="preserve">AOK Sachsen-Anhalt → </w:t>
      </w:r>
      <w:r>
        <w:rPr>
          <w:b/>
        </w:rPr>
        <w:t>kaum gestaltbar</w:t>
      </w:r>
      <w:r>
        <w:t xml:space="preserve"> (wie FA)</w:t>
      </w:r>
    </w:p>
    <w:p>
      <w:pPr>
        <w:pStyle w:val="ListBullet"/>
        <w:spacing w:line="259" w:lineRule="auto" w:after="60"/>
      </w:pPr>
      <w:r>
        <w:t xml:space="preserve">Arbeitnehmer → </w:t>
      </w:r>
      <w:r>
        <w:rPr>
          <w:b/>
        </w:rPr>
        <w:t>nicht einbeziehbar</w:t>
      </w:r>
      <w:r>
        <w:t xml:space="preserve"> ohne erheblichen Widerstand und Paragraf 25 StaRUG</w:t>
      </w:r>
    </w:p>
    <w:p>
      <w:pPr>
        <w:spacing w:line="259" w:lineRule="auto" w:after="60"/>
        <w:jc w:val="left"/>
      </w:pPr>
      <w:r>
        <w:rPr>
          <w:b/>
        </w:rPr>
        <w:t>Ergebnis:</w:t>
      </w:r>
      <w:r>
        <w:t xml:space="preserve"> Ein StaRUG-Plan, der nur die Havelbank gestaltet und FA/AOK/Lieferanten unberührt lässt, würde die eigentliche Restrukturierungslücke nicht schließen. Das Sanierungsbedürfnis war zu breit für StaRUG.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II.3 Bestandsfähigkeitserklärung (Paragraf 14 StaRUG)</w:t>
      </w:r>
    </w:p>
    <w:p>
      <w:pPr>
        <w:spacing w:line="259" w:lineRule="auto" w:after="60"/>
        <w:jc w:val="left"/>
      </w:pPr>
      <w:r>
        <w:t xml:space="preserve">Der Geschäftsführer hätte eine </w:t>
      </w:r>
      <w:r>
        <w:rPr>
          <w:b/>
        </w:rPr>
        <w:t>Erklärung zur nachhaltigen Bestandsfähigkeit</w:t>
      </w:r>
      <w:r>
        <w:t xml:space="preserve"> einreichen müssen. Dazu ist ein Konzept erforderlich, das:</w:t>
      </w:r>
    </w:p>
    <w:p>
      <w:pPr>
        <w:pStyle w:val="ListBullet"/>
        <w:spacing w:line="259" w:lineRule="auto" w:after="60"/>
      </w:pPr>
      <w:r>
        <w:t>die Ursachen der wirtschaftlichen Schieflage beschreibt,</w:t>
      </w:r>
    </w:p>
    <w:p>
      <w:pPr>
        <w:pStyle w:val="ListBullet"/>
        <w:spacing w:line="259" w:lineRule="auto" w:after="60"/>
      </w:pPr>
      <w:r>
        <w:t>Maßnahmen zur nachhaltigen Sanierung darstellt,</w:t>
      </w:r>
    </w:p>
    <w:p>
      <w:pPr>
        <w:pStyle w:val="ListBullet"/>
        <w:spacing w:line="259" w:lineRule="auto" w:after="60"/>
      </w:pPr>
      <w:r>
        <w:t>eine integrierte Finanzplanung über mindestens 24 Monate enthält.</w:t>
      </w:r>
    </w:p>
    <w:p>
      <w:pPr>
        <w:spacing w:line="259" w:lineRule="auto" w:after="60"/>
        <w:jc w:val="left"/>
      </w:pPr>
      <w:r>
        <w:rPr>
          <w:b/>
        </w:rPr>
        <w:t>Realitätscheck:</w:t>
      </w:r>
      <w:r>
        <w:t xml:space="preserve"> Die Buchhaltung war ab März 2026 unvollständig. Eine BWA existiert nur für Januar 2026. Jahresabschluss 2025 fehlt. Ein Finanzplan für 24 Monate war zu keinem Zeitpunkt vorhanden.</w:t>
      </w:r>
    </w:p>
    <w:p>
      <w:pPr>
        <w:spacing w:line="259" w:lineRule="auto" w:after="60"/>
        <w:jc w:val="left"/>
      </w:pPr>
      <w:r>
        <w:rPr>
          <w:b/>
        </w:rPr>
        <w:t>Ergebnis:</w:t>
      </w:r>
      <w:r>
        <w:t xml:space="preserve"> Paragraf 14 StaRUG-Voraussetzungen nie erfüllt.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II.4 Stabilisierungsanordnung (Paragrafen 49 ff. StaRUG)</w:t>
      </w:r>
    </w:p>
    <w:p>
      <w:pPr>
        <w:spacing w:line="259" w:lineRule="auto" w:after="60"/>
        <w:jc w:val="left"/>
      </w:pPr>
      <w:r>
        <w:t>Hätte man ein Moratorium gegen vollstreckende Gläubiger beantragt, wäre Voraussetzung gewesen:</w:t>
      </w:r>
    </w:p>
    <w:p>
      <w:pPr>
        <w:pStyle w:val="ListBullet"/>
        <w:spacing w:line="259" w:lineRule="auto" w:after="60"/>
      </w:pPr>
      <w:r>
        <w:t>Restrukturierungsanzeige beim nach Paragraf 34 StaRUG und dem geltenden Landesrecht sachlich sowie nach Paragraf 35 StaRUG örtlich zuständigen Amtsgericht</w:t>
      </w:r>
    </w:p>
    <w:p>
      <w:pPr>
        <w:pStyle w:val="ListBullet"/>
        <w:spacing w:line="259" w:lineRule="auto" w:after="60"/>
      </w:pPr>
      <w:r>
        <w:t>Vollständiger Restrukturierungsplan im Entwurf</w:t>
      </w:r>
    </w:p>
    <w:p>
      <w:pPr>
        <w:pStyle w:val="ListBullet"/>
        <w:spacing w:line="259" w:lineRule="auto" w:after="60"/>
      </w:pPr>
      <w:r>
        <w:t>Gerichtliche Prüfung der Erfolgsaussichten</w:t>
      </w:r>
    </w:p>
    <w:p>
      <w:pPr>
        <w:spacing w:line="259" w:lineRule="auto" w:after="60"/>
        <w:jc w:val="left"/>
      </w:pPr>
      <w:r>
        <w:rPr>
          <w:b/>
        </w:rPr>
        <w:t>Zeitbedarf:</w:t>
      </w:r>
      <w:r>
        <w:t xml:space="preserve"> Selbst bei sofortiger Einleitung wäre eine Stabilisierungsanordnung frühestens nach 10–14 Tagen wirksam geworden. Bei der schnellen Eskalation (Rücklastschrift 22.03.2026 → ZU; Antrag 04.05.2026) hätte das Verfahren scheitern müssen.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Lehren für zukünftige Fälle (Prüfziel)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Kritisches Timing im Fall Möbelwerk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Erkennungszeitpunkt drohende ZU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Spätestens Q4/2025 (erste Umsatzrückgänge, Rohstoffpreisanstieg)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Reaktionsfenster StaRUG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Jan./Feb. 2026 – zu knapp und ohne Vorbereitung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Fehlende Voraussetzung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Finanzplan, keine Bestandsfähigkeitserklärung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Strukturelles Hindernis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 und SVT nicht StaRUG-gestaltbar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Zeitpunkt der verpassten Chance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Geschäftsführer reagierte erst auf Gläubigerantrag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Merksatz:</w:t>
      </w:r>
      <w:r>
        <w:t xml:space="preserve"> StaRUG erfordert frühe Krisendiagnose, belastbare Planung und einen engen Gläubigerkreis. Bei breitem operativem Gläubigereingriff und fehlendem Finanzkonzept ist das Insolvenzverfahren der richtige Weg.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Dr. Nora Westphal, Insolvenzverwalterin, Magdeburg, 01.07.2026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