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b/>
          <w:sz w:val="28"/>
        </w:rPr>
        <w:t>Falkenried &amp; Partner mbB - Finance Operations</w:t>
      </w:r>
    </w:p>
    <w:p>
      <w:pPr>
        <w:spacing w:after="320"/>
      </w:pPr>
      <w:r>
        <w:t>Opernplatz 7, 60313 Frankfurt am Main</w:t>
        <w:br/>
        <w:t>Telefon 069 771884-0 | finance@falkenried-partner.de</w:t>
      </w:r>
    </w:p>
    <w:p>
      <w:pPr>
        <w:spacing w:after="240"/>
      </w:pPr>
      <w:r>
        <w:t>Management Committee</w:t>
        <w:br/>
        <w:t>Falkenried &amp; Partner mbB</w:t>
        <w:br/>
        <w:t>im Hause</w:t>
      </w:r>
    </w:p>
    <w:p>
      <w:pPr>
        <w:jc w:val="right"/>
      </w:pPr>
      <w:r>
        <w:t>Frankfurt am Main, 6. Juli 2026</w:t>
      </w:r>
    </w:p>
    <w:p>
      <w:pPr>
        <w:spacing w:before="160" w:after="240"/>
      </w:pPr>
      <w:r>
        <w:rPr>
          <w:b/>
        </w:rPr>
        <w:t>Betreff: Offene Forderungen und noch nicht freigegebene Leistungsnachweise zum 30. Juni 2026</w:t>
        <w:br/>
        <w:t>Unser Zeichen: FIN Q2/2026-188</w:t>
      </w:r>
    </w:p>
    <w:p>
      <w:r>
        <w:t>Sehr geehrte Partner,</w:t>
      </w:r>
    </w:p>
    <w:p>
      <w:pPr>
        <w:spacing w:after="160"/>
        <w:jc w:val="both"/>
      </w:pPr>
      <w:r>
        <w:t>der Forderungsbestand beträgt zum Stichtag 4,82 Millionen Euro. Davon sind 1,17 Millionen Euro älter als sechzig Tage. Bei zwölf Rechnungen über zusammen 684000 Euro fehlt noch die verantwortliche Partnerfreigabe; weitere sieben Rechnungen wurden von Mandanten wegen unklarer Tätigkeitsbeschreibungen zurückgestellt.</w:t>
      </w:r>
    </w:p>
    <w:p>
      <w:pPr>
        <w:spacing w:after="160"/>
        <w:jc w:val="both"/>
      </w:pPr>
      <w:r>
        <w:t>Der größte Einzelposten betrifft Nordstern BioTherapeutics mit 188400 Euro. Der Mandant hat davon 68420 Euro zur Zahlung angekündigt und verlangt für den Rest eine Zuordnung der Zeiten zu drei Budgetstellen. Bei Hafenwerke Süd sind zwei Rechnungen doppelt im Export erschienen; die Buchhaltung hat eine davon am 2. Juli storniert.</w:t>
      </w:r>
    </w:p>
    <w:p>
      <w:pPr>
        <w:spacing w:after="160"/>
        <w:jc w:val="both"/>
      </w:pPr>
      <w:r>
        <w:t>Die Liste enthält den unveränderten Systemstand einschließlich strittiger und technisch gesperrter Positionen. Rückstellungen oder Zahlungserwartungen wurden nicht eingerechnet. Partnerassistentin Frau Mäßler führt die fehlenden Freigaben bis 9. Juli nach und dokumentiert jede Änderung in einer gesonderten Spalte.</w:t>
      </w:r>
    </w:p>
    <w:p>
      <w:r>
        <w:t>Mit freundlichen Grüßen</w:t>
      </w:r>
    </w:p>
    <w:p>
      <w:r>
        <w:t>Miriam Groß</w:t>
        <w:br/>
        <w:t>Leitung Finance Operations</w:t>
      </w:r>
    </w:p>
    <w:p>
      <w:r>
        <w:t>Anlage: 16 offene forderungen systemexport roh (CSV-Export)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Falkenried &amp; Partner mbB - Finance Operations | Telefon 069 771884-0 | finance@falkenried-partner.de | FIN Q2/2026-188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Falkenried &amp; Partner mbB - Finance Operations | FIN Q2/2026-188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Offene Forderungen und noch nicht freigegebene Leistungsnachweise zum 30. Juni 2026</dc:subject>
  <dc:creator>Falkenried &amp; Partner mbB - Finance Operations</dc:creator>
  <cp:keywords/>
  <dc:description>generated by python-docx</dc:description>
  <cp:lastModifiedBy/>
  <cp:revision>1</cp:revision>
  <dcterms:created xsi:type="dcterms:W3CDTF">2013-12-23T23:15:00Z</dcterms:created>
  <dcterms:modified xsi:type="dcterms:W3CDTF">2013-12-23T23:15:00Z</dcterms:modified>
  <cp:category/>
</cp:coreProperties>
</file>