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Normstand-Vermerk — anzuwendender Rechtsstand der KI-Verordnung</w:t>
      </w:r>
    </w:p>
    <w:p>
      <w:pPr>
        <w:jc w:val="left"/>
      </w:pPr>
      <w:r>
        <w:t>SaniScore Medizintechnik GmbH — Regulatory Affairs</w:t>
      </w:r>
    </w:p>
    <w:p>
      <w:pPr>
        <w:jc w:val="left"/>
      </w:pPr>
      <w:r>
        <w:t>Georges-Köhler-Allee 12, 79110 Freiburg im Breisgau</w:t>
      </w:r>
    </w:p>
    <w:p>
      <w:pPr>
        <w:jc w:val="left"/>
      </w:pPr>
      <w:r>
        <w:t>Dokument-ID: SS-NORM-2026-01 | Stand: 01.07.2026 | Verfasserin: Dr. Annika Sperling</w:t>
      </w:r>
    </w:p>
    <w:p>
      <w:pPr>
        <w:pStyle w:val="Heading2"/>
      </w:pPr>
      <w:r>
        <w:rPr>
          <w:rFonts w:ascii="Times New Roman" w:hAnsi="Times New Roman"/>
        </w:rPr>
        <w:t>1 Zweck</w:t>
      </w:r>
    </w:p>
    <w:p>
      <w:pPr>
        <w:jc w:val="left"/>
      </w:pPr>
      <w:r>
        <w:t>Dieser Vermerk hält fest, welcher Rechtsstand der Konformitätsbewertung von TriageAssist zugrunde gelegt wird, und ordnet den Umgang mit noch nicht abschließend geklärten Einzelfragen an.</w:t>
      </w:r>
    </w:p>
    <w:p>
      <w:pPr>
        <w:pStyle w:val="Heading2"/>
      </w:pPr>
      <w:r>
        <w:rPr>
          <w:rFonts w:ascii="Times New Roman" w:hAnsi="Times New Roman"/>
        </w:rPr>
        <w:t>2 Zugrunde gelegter Rechtsstand</w:t>
      </w:r>
    </w:p>
    <w:p>
      <w:pPr>
        <w:pStyle w:val="Heading3"/>
      </w:pPr>
      <w:r>
        <w:rPr>
          <w:rFonts w:ascii="Times New Roman" w:hAnsi="Times New Roman"/>
        </w:rPr>
        <w:t>2.1 KI-Verordnung</w:t>
      </w:r>
    </w:p>
    <w:p>
      <w:pPr>
        <w:jc w:val="left"/>
      </w:pPr>
      <w:r>
        <w:t>Zugrunde gelegt wird die Verordnung (EU) 2024/1689 des Europäischen Parlaments und des Rates zur Festlegung harmonisierter Vorschriften für künstliche Intelligenz (KI-Verordnung) in der im Amtsblatt der Europäischen Union veröffentlichten Fassung. Herangezogen werden ausschließlich die Grundstrukturen: die Einstufung als Hochrisiko-KI-System bei Produkten, die einer Konformitätsbewertung durch Dritte nach Unionsharmonisierungsrecht unterliegen, sowie die Anforderungen an Risikomanagement, Daten und Daten-Governance, technische Dokumentation, Aufzeichnung (Protokollierung), Transparenz, menschliche Aufsicht und Genauigkeit, Robustheit und Cybersicherheit.</w:t>
      </w:r>
    </w:p>
    <w:p>
      <w:pPr>
        <w:pStyle w:val="Heading3"/>
      </w:pPr>
      <w:r>
        <w:rPr>
          <w:rFonts w:ascii="Times New Roman" w:hAnsi="Times New Roman"/>
        </w:rPr>
        <w:t>2.2 Medizinprodukterecht</w:t>
      </w:r>
    </w:p>
    <w:p>
      <w:pPr>
        <w:jc w:val="left"/>
      </w:pPr>
      <w:r>
        <w:t>Ergänzend wird die Verordnung (EU) 2017/745 (MDR) herangezogen, insbesondere die Einbindung einer benannten Stelle in die Konformitätsbewertung von Software-Medizinprodukten.</w:t>
      </w:r>
    </w:p>
    <w:p>
      <w:pPr>
        <w:pStyle w:val="Heading2"/>
      </w:pPr>
      <w:r>
        <w:rPr>
          <w:rFonts w:ascii="Times New Roman" w:hAnsi="Times New Roman"/>
        </w:rPr>
        <w:t>3 Vorbehalt beweglicher Normstand</w:t>
      </w:r>
    </w:p>
    <w:p>
      <w:pPr>
        <w:jc w:val="left"/>
      </w:pPr>
      <w:r>
        <w:t>Die konkreten Artikel-, Anhang- und Fristangaben sowie das Verhältnis der gestaffelten Geltungszeitpunkte der KI-Verordnung sind Gegenstand laufender Rechtsakte, einschließlich möglicher Änderungs- und Vereinfachungsvorhaben (Omnibus). Sämtliche Einzelnummern, Fristen und Verweise in dieser Akte sind daher als vorläufig zu behandeln und im Text mit dem Hinweis [Normstand zu verifizieren] gekennzeichnet.</w:t>
      </w:r>
    </w:p>
    <w:p>
      <w:pPr>
        <w:pStyle w:val="Heading2"/>
      </w:pPr>
      <w:r>
        <w:rPr>
          <w:rFonts w:ascii="Times New Roman" w:hAnsi="Times New Roman"/>
        </w:rPr>
        <w:t>4 Anordnung</w:t>
      </w:r>
    </w:p>
    <w:p>
      <w:pPr>
        <w:pStyle w:val="Heading3"/>
      </w:pPr>
      <w:r>
        <w:rPr>
          <w:rFonts w:ascii="Times New Roman" w:hAnsi="Times New Roman"/>
        </w:rPr>
        <w:t>4.1 Verifikation vor Verwendung</w:t>
      </w:r>
    </w:p>
    <w:p>
      <w:pPr>
        <w:jc w:val="left"/>
      </w:pPr>
      <w:r>
        <w:t>Vor jeder externen Verwendung eines Aktenstücks sind die einschlägigen Artikel, Anhänge und Fristen anhand der amtlichen konsolidierten Fassung (EUR-Lex) und etwaiger delegierter oder Durchführungsrechtsakte zu verifizieren.</w:t>
      </w:r>
    </w:p>
    <w:p>
      <w:pPr>
        <w:pStyle w:val="Heading3"/>
      </w:pPr>
      <w:r>
        <w:rPr>
          <w:rFonts w:ascii="Times New Roman" w:hAnsi="Times New Roman"/>
        </w:rPr>
        <w:t>4.2 Keine Erfindung von Sekundärrechtsakten</w:t>
      </w:r>
    </w:p>
    <w:p>
      <w:pPr>
        <w:jc w:val="left"/>
      </w:pPr>
      <w:r>
        <w:t>Es dürfen keine Durchführungs- oder delegierten Rechtsakte, harmonisierten Normen oder Leitlinien als geltend zitiert werden, deren Bestand nicht amtlich verifiziert ist. Gerichtsentscheidungen werden nicht als Beleg herangezogen.</w:t>
      </w:r>
    </w:p>
    <w:p>
      <w:pPr>
        <w:pStyle w:val="Heading3"/>
      </w:pPr>
      <w:r>
        <w:rPr>
          <w:rFonts w:ascii="Times New Roman" w:hAnsi="Times New Roman"/>
        </w:rPr>
        <w:t>4.3 Benannte Stelle</w:t>
      </w:r>
    </w:p>
    <w:p>
      <w:pPr>
        <w:jc w:val="left"/>
      </w:pPr>
      <w:r>
        <w:t>Die Projektakte enthält zur beauftragten benannten Stelle PZM Süd lediglich die Kennnummer NB 2971. Der aktuelle Notifizierungsumfang ist anhand des NANDO-Eintrags und der Beauftragungsunterlagen zu belegen; ein amtlicher Nachweis liegt noch nicht vor.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