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Normstand-Vermerk — anzuwendender Rechtsstand der KI-Verordnung</w:t>
      </w:r>
    </w:p>
    <w:p>
      <w:pPr>
        <w:jc w:val="left"/>
      </w:pPr>
      <w:r>
        <w:t>Stadt Chemnitz — Rechtsamt</w:t>
      </w:r>
    </w:p>
    <w:p>
      <w:pPr>
        <w:jc w:val="left"/>
      </w:pPr>
      <w:r>
        <w:t>Friedrich-August-Straße 3, 09111 Chemnitz</w:t>
      </w:r>
    </w:p>
    <w:p>
      <w:pPr>
        <w:jc w:val="left"/>
      </w:pPr>
      <w:r>
        <w:t>Dokument-ID: 30-KI-2026-011-NORM | Stand: 01.07.2026 | Verfasserin: Rechtsrätin Dr. Cornelia Vahrenholt</w:t>
      </w:r>
    </w:p>
    <w:p>
      <w:pPr>
        <w:pStyle w:val="Heading2"/>
      </w:pPr>
      <w:r>
        <w:rPr>
          <w:rFonts w:ascii="Times New Roman" w:hAnsi="Times New Roman"/>
        </w:rPr>
        <w:t>1 Zweck</w:t>
      </w:r>
    </w:p>
    <w:p>
      <w:pPr>
        <w:jc w:val="left"/>
      </w:pPr>
      <w:r>
        <w:t>Dieser Vermerk hält fest, welcher Rechtsstand der Prüfung von KOMPASS zugrunde gelegt wird, und ordnet den Umgang mit noch nicht abschließend geklärten Einzelfragen an.</w:t>
      </w:r>
    </w:p>
    <w:p>
      <w:pPr>
        <w:pStyle w:val="Heading2"/>
      </w:pPr>
      <w:r>
        <w:rPr>
          <w:rFonts w:ascii="Times New Roman" w:hAnsi="Times New Roman"/>
        </w:rPr>
        <w:t>2 Zugrunde gelegter Rechtsstand</w:t>
      </w:r>
    </w:p>
    <w:p>
      <w:pPr>
        <w:jc w:val="left"/>
      </w:pPr>
      <w:r>
        <w:t>Zugrunde gelegt wird die Verordnung (EU) 2024/1689 (KI-Verordnung) in der im Amtsblatt der Europäischen Union veröffentlichten Fassung. Herangezogen werden ausschließlich die Grundstrukturen: das Verbot bestimmter Praktiken, insbesondere der sozialen Bewertung von Personen, wenn die Bewertung zu einer benachteiligenden Behandlung in Zusammenhängen führt, die nichts mit den Kontexten der Datenerhebung zu tun haben, oder zu einer ungerechtfertigten oder unverhältnismäßigen Schlechterstellung. Ergänzend wird das Datenschutzrecht (Datenschutz-Grundverordnung; Sächsisches Datenschutzdurchführungsrecht) herangezogen.</w:t>
      </w:r>
    </w:p>
    <w:p>
      <w:pPr>
        <w:pStyle w:val="Heading2"/>
      </w:pPr>
      <w:r>
        <w:rPr>
          <w:rFonts w:ascii="Times New Roman" w:hAnsi="Times New Roman"/>
        </w:rPr>
        <w:t>3 Vorbehalt beweglicher Normstand</w:t>
      </w:r>
    </w:p>
    <w:p>
      <w:pPr>
        <w:jc w:val="left"/>
      </w:pPr>
      <w:r>
        <w:t>Die genaue Fassung des Verbotstatbestands, seine Tatbestandsmerkmale, die einschlägigen Artikel und die Geltungszeitpunkte sind Gegenstand laufender Rechtsakte, einschließlich möglicher Änderungs- und Vereinfachungsvorhaben (Omnibus). Sämtliche Einzelnummern, Fristen und Verweise in dieser Akte sind daher als vorläufig zu behandeln und mit dem Hinweis [Normstand zu verifizieren] gekennzeichnet.</w:t>
      </w:r>
    </w:p>
    <w:p>
      <w:pPr>
        <w:pStyle w:val="Heading2"/>
      </w:pPr>
      <w:r>
        <w:rPr>
          <w:rFonts w:ascii="Times New Roman" w:hAnsi="Times New Roman"/>
        </w:rPr>
        <w:t>4 Anordnung</w:t>
      </w:r>
    </w:p>
    <w:p>
      <w:pPr>
        <w:pStyle w:val="Heading3"/>
      </w:pPr>
      <w:r>
        <w:rPr>
          <w:rFonts w:ascii="Times New Roman" w:hAnsi="Times New Roman"/>
        </w:rPr>
        <w:t>4.1 Verifikation vor Verwendung</w:t>
      </w:r>
    </w:p>
    <w:p>
      <w:pPr>
        <w:jc w:val="left"/>
      </w:pPr>
      <w:r>
        <w:t>Vor jeder externen Verwendung eines Aktenstücks sind der Wortlaut des Verbotstatbestands, die einschlägigen Artikel und die Geltungszeitpunkte anhand der amtlichen konsolidierten Fassung (EUR-Lex) zu verifizieren.</w:t>
      </w:r>
    </w:p>
    <w:p>
      <w:pPr>
        <w:pStyle w:val="Heading3"/>
      </w:pPr>
      <w:r>
        <w:rPr>
          <w:rFonts w:ascii="Times New Roman" w:hAnsi="Times New Roman"/>
        </w:rPr>
        <w:t>4.2 Keine Erfindung von Sekundärrechtsakten</w:t>
      </w:r>
    </w:p>
    <w:p>
      <w:pPr>
        <w:jc w:val="left"/>
      </w:pPr>
      <w:r>
        <w:t>Es dürfen keine Durchführungs- oder delegierten Rechtsakte, Leitlinien oder Gerichtsentscheidungen als geltend zitiert werden, deren Bestand nicht amtlich verifiziert ist. Insbesondere wird keine Präjudizienbindung angenommen.</w:t>
      </w:r>
    </w:p>
    <w:p>
      <w:pPr>
        <w:pStyle w:val="Heading3"/>
      </w:pPr>
      <w:r>
        <w:rPr>
          <w:rFonts w:ascii="Times New Roman" w:hAnsi="Times New Roman"/>
        </w:rPr>
        <w:t>4.3 Aktenzeichen</w:t>
      </w:r>
    </w:p>
    <w:p>
      <w:pPr>
        <w:jc w:val="left"/>
      </w:pPr>
      <w:r>
        <w:t>Die Eingangsbestätigungen der beteiligten Behörden stehen noch aus. Die endgültigen Aktenzeichen sind nach Eingang den jeweiligen Vorgängen zuzuordnen und im Fristenblatt nachzutragen.</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