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364D"/>
          <w:sz w:val="30"/>
        </w:rPr>
        <w:t>FALKENRIED &amp; PARTNER PARTGMBB</w:t>
      </w:r>
    </w:p>
    <w:p>
      <w:pPr>
        <w:jc w:val="center"/>
      </w:pPr>
      <w:r>
        <w:rPr>
          <w:sz w:val="18"/>
        </w:rPr>
        <w:t>Litigation | Life Sciences | Regulatory</w:t>
      </w:r>
    </w:p>
    <w:p>
      <w:pPr>
        <w:jc w:val="center"/>
      </w:pPr>
      <w:r>
        <w:rPr>
          <w:sz w:val="17"/>
        </w:rPr>
        <w:t>Neuer Wall 78 | 20354 Hamburg | Telefon 040 809331-0 | matterteam@falkenried.de</w:t>
      </w:r>
    </w:p>
    <w:p>
      <w:pPr>
        <w:pStyle w:val="Title"/>
      </w:pPr>
      <w:r>
        <w:t>Weekly Matter Status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Mandantin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Nordstern BioTherapeutics GmbH, München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Gegnerin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MedVector Supply AG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Berichtsstand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3. Juni 2026, 18:15 Uhr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Verteiler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Dr. Mechthild Auer, Sebastian Kordes, Dr. Raban Hellfeld, Dr. Cosima Falkenried, Julian Norder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Budget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Phase-1-Obergrenze 180000 EUR; Forecast 312000 EUR; April-Rechnung 48600 EUR streitig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Nächster Termin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Status- und Budgetgespräch am 4. Juni 2026, 16:30 Uhr</w:t>
            </w:r>
          </w:p>
        </w:tc>
      </w:tr>
    </w:tbl>
    <w:p/>
    <w:p>
      <w:pPr>
        <w:pStyle w:val="Heading1"/>
      </w:pPr>
      <w:r>
        <w:t>1. Seit dem letzten Bericht erledigt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268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Arbeitspaket</w:t>
            </w:r>
          </w:p>
        </w:tc>
        <w:tc>
          <w:tcPr>
            <w:tcW w:type="dxa" w:w="3515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Stand</w:t>
            </w:r>
          </w:p>
        </w:tc>
        <w:tc>
          <w:tcPr>
            <w:tcW w:type="dxa" w:w="1871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Beleg</w:t>
            </w:r>
          </w:p>
        </w:tc>
        <w:tc>
          <w:tcPr>
            <w:tcW w:type="dxa" w:w="1531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Verantwortlich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Außergerichtliches Schreiben</w:t>
            </w:r>
          </w:p>
        </w:tc>
        <w:tc>
          <w:tcPr>
            <w:tcW w:type="dxa" w:w="351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Am 2. Juni um 16:48 Uhr versandt; Zustellbestätigung liegt vor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E-Mail und Versandjournal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Norder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Anlagenstruktur</w:t>
            </w:r>
          </w:p>
        </w:tc>
        <w:tc>
          <w:tcPr>
            <w:tcW w:type="dxa" w:w="351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K1 bis K18 nummeriert; K7 und K14 wegen Patientenkürzeln noch nicht freigegeben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Anlagenindex Version 4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Legal Ops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Eilantrag</w:t>
            </w:r>
          </w:p>
        </w:tc>
        <w:tc>
          <w:tcPr>
            <w:tcW w:type="dxa" w:w="351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Sachverhalt und Anträge stehen; Dringlichkeitsdarstellung wird nach den neuen E-Mails überarbeitet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Entwurf Version 0.7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Falkenried/Norder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Spezifikationssicherung</w:t>
            </w:r>
          </w:p>
        </w:tc>
        <w:tc>
          <w:tcPr>
            <w:tcW w:type="dxa" w:w="351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Originaldatenträger im Tresor München; Hashprotokoll vom 3. Juni vorhanden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Übergabeprotokoll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Hellfeld</w:t>
            </w:r>
          </w:p>
        </w:tc>
      </w:tr>
    </w:tbl>
    <w:p/>
    <w:p>
      <w:pPr>
        <w:pStyle w:val="Heading1"/>
      </w:pPr>
      <w:r>
        <w:t>2. Laufende Arbeiten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71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Thema</w:t>
            </w:r>
          </w:p>
        </w:tc>
        <w:tc>
          <w:tcPr>
            <w:tcW w:type="dxa" w:w="3402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Nächster Arbeitsschritt</w:t>
            </w:r>
          </w:p>
        </w:tc>
        <w:tc>
          <w:tcPr>
            <w:tcW w:type="dxa" w:w="1531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Frist</w:t>
            </w:r>
          </w:p>
        </w:tc>
        <w:tc>
          <w:tcPr>
            <w:tcW w:type="dxa" w:w="2381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Abhängigkeit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Dringlichkeit</w:t>
            </w:r>
          </w:p>
        </w:tc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Kenntniszeitpunkte aus Outlook-Export und Laborjournal zusammenführen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04.06., 10:00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Mail vom 28.03. und Gesprächsnotiz fehlen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Eidesstattliche Versicherung Hellfeld</w:t>
            </w:r>
          </w:p>
        </w:tc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Tatsachen zu Probenübergabe und Spezifikationszugang finalisieren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04.06., 12:00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Persönliche Freigabe Dr. Hellfeld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Schwärzung Laborberichte</w:t>
            </w:r>
          </w:p>
        </w:tc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Patientenkürzel auf K7 und K14 prüfen; Ersatzseiten erzeugen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04.06., 14:00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Freigabe Legal Ops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Budget-Reforecast</w:t>
            </w:r>
          </w:p>
        </w:tc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Zeiteinträge nach Arbeitspaket und Scope-In/Scope-Out trennen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04.06., 15:00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Procurement-Regeln und April-Kürzung</w:t>
            </w:r>
          </w:p>
        </w:tc>
      </w:tr>
    </w:tbl>
    <w:p/>
    <w:p>
      <w:pPr>
        <w:pStyle w:val="Heading1"/>
      </w:pPr>
      <w:r>
        <w:t>3. Blockierte Punkte</w:t>
      </w:r>
    </w:p>
    <w:p>
      <w:r>
        <w:t>Die Beauftragung des externen ATMP-Beraters ist im Einkauf noch nicht freigegeben. Das Angebot über 18400 EUR liegt seit 31. Mai vor. Ohne Freigabe kann die regulatorische Anlage frühestens zwei Arbeitstage später fertiggestellt werden.</w:t>
      </w:r>
    </w:p>
    <w:p>
      <w:r>
        <w:t>Das Vergleichsfenster von 1,2 bis 1,8 Mio. EUR ist im Vorstand nicht beschlossen. Der CFO hat am 3. Juni um 11:24 Uhr nur eine Verhandlungsvollmacht bis 900000 EUR bestätigt. Diese Grenze soll im Gespräch nicht als endgültige Position nach außen gegeben werden.</w:t>
      </w:r>
    </w:p>
    <w:p>
      <w:pPr>
        <w:pStyle w:val="Heading1"/>
      </w:pPr>
      <w:r>
        <w:t>4. Belege und offene Tatsachen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494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Aktenstück</w:t>
            </w:r>
          </w:p>
        </w:tc>
        <w:tc>
          <w:tcPr>
            <w:tcW w:type="dxa" w:w="2891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Vorhanden</w:t>
            </w:r>
          </w:p>
        </w:tc>
        <w:tc>
          <w:tcPr>
            <w:tcW w:type="dxa" w:w="3798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Fehlt oder widersprüchlich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E-Mail-Kette 28.03. bis 04.04.</w:t>
            </w:r>
          </w:p>
        </w:tc>
        <w:tc>
          <w:tcPr>
            <w:tcW w:type="dxa" w:w="28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Export der Rechtsabteilung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Zwei Anlagen fehlen; Datum der ersten Kenntnis streitig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Probenübergabe 17.05.</w:t>
            </w:r>
          </w:p>
        </w:tc>
        <w:tc>
          <w:tcPr>
            <w:tcW w:type="dxa" w:w="28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Tresorjournal und Kurierbeleg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Unterschrift der MedVector-Mitarbeiterin unleserlich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Laborberichte K7/K14</w:t>
            </w:r>
          </w:p>
        </w:tc>
        <w:tc>
          <w:tcPr>
            <w:tcW w:type="dxa" w:w="28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Originale als PDF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Patientenkürzel müssen vor Gerichtseinreichung geschwärzt werden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April-Rechnung</w:t>
            </w:r>
          </w:p>
        </w:tc>
        <w:tc>
          <w:tcPr>
            <w:tcW w:type="dxa" w:w="28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Narrative und Zeiteinträge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4,1 Stunden interner Call nach OCG beanstandet</w:t>
            </w:r>
          </w:p>
        </w:tc>
      </w:tr>
    </w:tbl>
    <w:p/>
    <w:p>
      <w:pPr>
        <w:pStyle w:val="Heading1"/>
      </w:pPr>
      <w:r>
        <w:t>5. Nächste Kommunikation</w:t>
      </w:r>
    </w:p>
    <w:p>
      <w:r>
        <w:t>Julian Norder übersendet bis 4. Juni um 09:30 Uhr eine aktualisierte Fragenliste an Dr. Hellfeld. Dr. Falkenried führt um 16:30 Uhr den Budgettermin mit Dr. Auer und Herrn Kordes. Ein externes Schreiben wird erst nach schriftlicher Freigabe der Rechtsabteilung versandt.</w:t>
      </w:r>
    </w:p>
    <w:p>
      <w:r>
        <w:t>Erstellt von Julian Norder, Rechtsanwalt</w:t>
        <w:br/>
        <w:t>Geprüft am 3. Juni 2026 um 18:02 Uhr durch Dr. Cosima Falkenried, Rechtsanwältin</w:t>
      </w:r>
    </w:p>
    <w:sectPr w:rsidR="00FC693F" w:rsidRPr="0006063C" w:rsidSect="00034616">
      <w:footerReference w:type="default" r:id="rId9"/>
      <w:pgSz w:w="11906" w:h="16838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F5F5F"/>
        <w:sz w:val="16"/>
      </w:rPr>
      <w:t xml:space="preserve">Matter 26-0417 | Nordstern gegen MedVector | </w:t>
    </w:r>
    <w:r>
      <w:rPr>
        <w:rFonts w:ascii="Times New Roman" w:hAnsi="Times New Roman"/>
        <w:color w:val="5F5F5F"/>
        <w:sz w:val="16"/>
      </w:rPr>
      <w:t xml:space="preserve">Seite </w:t>
    </w:r>
    <w:r>
      <w:rPr>
        <w:rFonts w:ascii="Times New Roman" w:hAnsi="Times New Roman"/>
        <w:color w:val="5F5F5F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336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336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/>
      <w:b/>
      <w:color w:val="23364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