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3364D"/>
          <w:sz w:val="30"/>
        </w:rPr>
        <w:t>HAGEMANN &amp; WESTARP RECHTSANWÄLTE PARTGMBB</w:t>
      </w:r>
    </w:p>
    <w:p>
      <w:pPr>
        <w:jc w:val="center"/>
      </w:pPr>
      <w:r>
        <w:rPr>
          <w:sz w:val="18"/>
        </w:rPr>
        <w:t>Markenrecht | Designrecht | Wettbewerbsrecht</w:t>
      </w:r>
    </w:p>
    <w:p>
      <w:pPr>
        <w:jc w:val="center"/>
      </w:pPr>
      <w:r>
        <w:rPr>
          <w:sz w:val="17"/>
        </w:rPr>
        <w:t>Gereonstraße 18-32 | 50670 Köln | Telefon 0221 508814-0 | marken@hagemann-westarp.de</w:t>
      </w:r>
    </w:p>
    <w:p>
      <w:pPr>
        <w:pStyle w:val="Title"/>
      </w:pPr>
      <w:r>
        <w:t>Fristenblatt und Eingangsvermerk zum EUIPO-Widerspruch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249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Mandantin</w:t>
            </w:r>
          </w:p>
        </w:tc>
        <w:tc>
          <w:tcPr>
            <w:tcW w:type="dxa" w:w="6463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Kapselwerk GmbH, Venloer Straße 389, 50825 Köln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Älteres Recht</w:t>
            </w:r>
          </w:p>
        </w:tc>
        <w:tc>
          <w:tcPr>
            <w:tcW w:type="dxa" w:w="6463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Unionswortmarke KAPSEL 42, Registernummer 017845921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Angegriffene Anmeldung</w:t>
            </w:r>
          </w:p>
        </w:tc>
        <w:tc>
          <w:tcPr>
            <w:tcW w:type="dxa" w:w="6463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CAPSULA42, Anmeldenummer 019188642, Anmelderin Calzado Urbano Levante S.L.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Veröffentlichung</w:t>
            </w:r>
          </w:p>
        </w:tc>
        <w:tc>
          <w:tcPr>
            <w:tcW w:type="dxa" w:w="6463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15. Juni 2026 im Unionsmarkenblatt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Sachbearbeitung</w:t>
            </w:r>
          </w:p>
        </w:tc>
        <w:tc>
          <w:tcPr>
            <w:tcW w:type="dxa" w:w="6463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Rechtsanwältin Dr. Inga Westarp; Assistenz Leyla Demir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Kontrolle</w:t>
            </w:r>
          </w:p>
        </w:tc>
        <w:tc>
          <w:tcPr>
            <w:tcW w:type="dxa" w:w="6463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Vier-Augen-Prüfung am 6. Juli 2026, 09:12 Uhr durch Rechtsanwalt Paul Hagemann</w:t>
            </w:r>
          </w:p>
        </w:tc>
      </w:tr>
    </w:tbl>
    <w:p/>
    <w:p>
      <w:pPr>
        <w:pStyle w:val="Heading1"/>
      </w:pPr>
      <w:r>
        <w:t>1. Fristenkalender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tblHeader w:val="true"/>
        </w:trPr>
        <w:tc>
          <w:tcPr>
            <w:tcW w:type="dxa" w:w="1814"/>
            <w:vAlign w:val="center"/>
            <w:shd w:fill="DCE6E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b/>
                <w:sz w:val="17"/>
              </w:rPr>
              <w:t>Vorgang</w:t>
            </w:r>
          </w:p>
        </w:tc>
        <w:tc>
          <w:tcPr>
            <w:tcW w:type="dxa" w:w="2551"/>
            <w:vAlign w:val="center"/>
            <w:shd w:fill="DCE6E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b/>
                <w:sz w:val="17"/>
              </w:rPr>
              <w:t>Auslöser</w:t>
            </w:r>
          </w:p>
        </w:tc>
        <w:tc>
          <w:tcPr>
            <w:tcW w:type="dxa" w:w="1474"/>
            <w:vAlign w:val="center"/>
            <w:shd w:fill="DCE6E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b/>
                <w:sz w:val="17"/>
              </w:rPr>
              <w:t>Kalenderdatum</w:t>
            </w:r>
          </w:p>
        </w:tc>
        <w:tc>
          <w:tcPr>
            <w:tcW w:type="dxa" w:w="1474"/>
            <w:vAlign w:val="center"/>
            <w:shd w:fill="DCE6E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b/>
                <w:sz w:val="17"/>
              </w:rPr>
              <w:t>Interne Vorfrist</w:t>
            </w:r>
          </w:p>
        </w:tc>
        <w:tc>
          <w:tcPr>
            <w:tcW w:type="dxa" w:w="1984"/>
            <w:vAlign w:val="center"/>
            <w:shd w:fill="DCE6E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b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81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Widerspruch einlegen</w:t>
            </w:r>
          </w:p>
        </w:tc>
        <w:tc>
          <w:tcPr>
            <w:tcW w:type="dxa" w:w="255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Veröffentlichung 15.06.2026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15.09.2026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01.09.2026</w:t>
            </w:r>
          </w:p>
        </w:tc>
        <w:tc>
          <w:tcPr>
            <w:tcW w:type="dxa" w:w="198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Notiert und gegengeprüft</w:t>
            </w:r>
          </w:p>
        </w:tc>
      </w:tr>
      <w:tr>
        <w:trPr>
          <w:cantSplit/>
        </w:trPr>
        <w:tc>
          <w:tcPr>
            <w:tcW w:type="dxa" w:w="181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Gebührenfreigabe</w:t>
            </w:r>
          </w:p>
        </w:tc>
        <w:tc>
          <w:tcPr>
            <w:tcW w:type="dxa" w:w="255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Mandantenauftrag 24.06.2026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25.08.2026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18.08.2026</w:t>
            </w:r>
          </w:p>
        </w:tc>
        <w:tc>
          <w:tcPr>
            <w:tcW w:type="dxa" w:w="198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Budgetfreigabe liegt vor</w:t>
            </w:r>
          </w:p>
        </w:tc>
      </w:tr>
      <w:tr>
        <w:trPr>
          <w:cantSplit/>
        </w:trPr>
        <w:tc>
          <w:tcPr>
            <w:tcW w:type="dxa" w:w="181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Benutzungsbelege ordnen</w:t>
            </w:r>
          </w:p>
        </w:tc>
        <w:tc>
          <w:tcPr>
            <w:tcW w:type="dxa" w:w="255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Ältere Marke über fünf Jahre eingetragen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31.07.2026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20.07.2026</w:t>
            </w:r>
          </w:p>
        </w:tc>
        <w:tc>
          <w:tcPr>
            <w:tcW w:type="dxa" w:w="198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Spanienbeleg noch unklar</w:t>
            </w:r>
          </w:p>
        </w:tc>
      </w:tr>
      <w:tr>
        <w:trPr>
          <w:cantSplit/>
        </w:trPr>
        <w:tc>
          <w:tcPr>
            <w:tcW w:type="dxa" w:w="181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Cooling-off-Vorschlag</w:t>
            </w:r>
          </w:p>
        </w:tc>
        <w:tc>
          <w:tcPr>
            <w:tcW w:type="dxa" w:w="255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Gegnerische Nachricht 01.07.2026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15.07.2026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11.07.2026</w:t>
            </w:r>
          </w:p>
        </w:tc>
        <w:tc>
          <w:tcPr>
            <w:tcW w:type="dxa" w:w="198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Mandantenfreigabe offen</w:t>
            </w:r>
          </w:p>
        </w:tc>
      </w:tr>
      <w:tr>
        <w:trPr>
          <w:cantSplit/>
        </w:trPr>
        <w:tc>
          <w:tcPr>
            <w:tcW w:type="dxa" w:w="181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Warenverzeichnis abstimmen</w:t>
            </w:r>
          </w:p>
        </w:tc>
        <w:tc>
          <w:tcPr>
            <w:tcW w:type="dxa" w:w="255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Vergleichsgespräch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12.07.2026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08.07.2026</w:t>
            </w:r>
          </w:p>
        </w:tc>
        <w:tc>
          <w:tcPr>
            <w:tcW w:type="dxa" w:w="198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Klassen 25 und 35 offen</w:t>
            </w:r>
          </w:p>
        </w:tc>
      </w:tr>
    </w:tbl>
    <w:p/>
    <w:p>
      <w:pPr>
        <w:pStyle w:val="Heading1"/>
      </w:pPr>
      <w:r>
        <w:t>2. Fristquellen und Kontrollen</w:t>
      </w:r>
    </w:p>
    <w:p>
      <w:r>
        <w:t>Die Veröffentlichung wurde anhand des heruntergeladenen Registerauszugs und des Eintrags im Kanzleipostfach abgeglichen. Das Veröffentlichungsdatum lautet in beiden Quellen 15. Juni 2026. Die Kalendernotiz wurde unter dem Mandatszeichen H&amp;W 2026-MK-4306 angelegt.</w:t>
      </w:r>
    </w:p>
    <w:p>
      <w:r>
        <w:t>Vor Einreichung sind Anmeldung, Waren- und Dienstleistungsverzeichnis, Vertretungsvollmacht, Gebührenkonto und Zustellungsanschrift im EUIPO-Konto erneut zu prüfen. Ein Entwurf oder eine Mitteilung der Gegenseite ersetzt die Registerkontrolle nicht.</w:t>
      </w:r>
    </w:p>
    <w:p>
      <w:pPr>
        <w:pStyle w:val="Heading1"/>
      </w:pPr>
      <w:r>
        <w:t>3. Belegbestand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041"/>
            <w:vAlign w:val="center"/>
            <w:shd w:fill="DCE6E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b/>
                <w:sz w:val="17"/>
              </w:rPr>
              <w:t>Beleggruppe</w:t>
            </w:r>
          </w:p>
        </w:tc>
        <w:tc>
          <w:tcPr>
            <w:tcW w:type="dxa" w:w="1474"/>
            <w:vAlign w:val="center"/>
            <w:shd w:fill="DCE6E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b/>
                <w:sz w:val="17"/>
              </w:rPr>
              <w:t>Zeitraum</w:t>
            </w:r>
          </w:p>
        </w:tc>
        <w:tc>
          <w:tcPr>
            <w:tcW w:type="dxa" w:w="2835"/>
            <w:vAlign w:val="center"/>
            <w:shd w:fill="DCE6E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b/>
                <w:sz w:val="17"/>
              </w:rPr>
              <w:t>Vorhanden</w:t>
            </w:r>
          </w:p>
        </w:tc>
        <w:tc>
          <w:tcPr>
            <w:tcW w:type="dxa" w:w="2948"/>
            <w:vAlign w:val="center"/>
            <w:shd w:fill="DCE6E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b/>
                <w:sz w:val="17"/>
              </w:rPr>
              <w:t>Noch anzufordern</w:t>
            </w:r>
          </w:p>
        </w:tc>
      </w:tr>
      <w:tr>
        <w:trPr>
          <w:cantSplit/>
        </w:trPr>
        <w:tc>
          <w:tcPr>
            <w:tcW w:type="dxa" w:w="204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Rechnungen Deutschland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2021 bis 2026</w:t>
            </w:r>
          </w:p>
        </w:tc>
        <w:tc>
          <w:tcPr>
            <w:tcW w:type="dxa" w:w="28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38 Rechnungen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Zwei Gutschriften zuordnen</w:t>
            </w:r>
          </w:p>
        </w:tc>
      </w:tr>
      <w:tr>
        <w:trPr>
          <w:cantSplit/>
        </w:trPr>
        <w:tc>
          <w:tcPr>
            <w:tcW w:type="dxa" w:w="204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Österreichischer Vertrieb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2022 bis 2025</w:t>
            </w:r>
          </w:p>
        </w:tc>
        <w:tc>
          <w:tcPr>
            <w:tcW w:type="dxa" w:w="28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11 Rechnungen und Händlervertrag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Lieferbelege 2024</w:t>
            </w:r>
          </w:p>
        </w:tc>
      </w:tr>
      <w:tr>
        <w:trPr>
          <w:cantSplit/>
        </w:trPr>
        <w:tc>
          <w:tcPr>
            <w:tcW w:type="dxa" w:w="204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Frankreich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2023</w:t>
            </w:r>
          </w:p>
        </w:tc>
        <w:tc>
          <w:tcPr>
            <w:tcW w:type="dxa" w:w="28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Messestandfoto und eine Order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Zahlungsbeleg</w:t>
            </w:r>
          </w:p>
        </w:tc>
      </w:tr>
      <w:tr>
        <w:trPr>
          <w:cantSplit/>
        </w:trPr>
        <w:tc>
          <w:tcPr>
            <w:tcW w:type="dxa" w:w="204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Spanien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28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Retourenbeleg aus Barcelona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Ursprungsrechnung und Empfängerbestätigung</w:t>
            </w:r>
          </w:p>
        </w:tc>
      </w:tr>
      <w:tr>
        <w:trPr>
          <w:cantSplit/>
        </w:trPr>
        <w:tc>
          <w:tcPr>
            <w:tcW w:type="dxa" w:w="2041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Werbung</w:t>
            </w:r>
          </w:p>
        </w:tc>
        <w:tc>
          <w:tcPr>
            <w:tcW w:type="dxa" w:w="1474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2021 bis 2026</w:t>
            </w:r>
          </w:p>
        </w:tc>
        <w:tc>
          <w:tcPr>
            <w:tcW w:type="dxa" w:w="28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Lookbooks und Kampagnenexport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Times New Roman" w:hAnsi="Times New Roman"/>
                <w:sz w:val="17"/>
              </w:rPr>
              <w:t>Reichweitenexport 2022</w:t>
            </w:r>
          </w:p>
        </w:tc>
      </w:tr>
    </w:tbl>
    <w:p/>
    <w:p>
      <w:pPr>
        <w:pStyle w:val="Heading1"/>
      </w:pPr>
      <w:r>
        <w:t>4. Postausgangssperre</w:t>
      </w:r>
    </w:p>
    <w:p>
      <w:r>
        <w:t>Keine Einreichung ohne zweite Fristenkontrolle, schriftliche Freigabe der Mandantin und Bestätigung des Gebührenkontos. Eine Vergleichsantwort darf die Widerspruchsfrist nicht ersetzen. Der Fristenkalender bleibt bis zur protokollierten EUIPO-Eingangsbestätigung offen.</w:t>
      </w:r>
    </w:p>
    <w:p>
      <w:r>
        <w:t>Köln, 6. Juli 2026</w:t>
        <w:br/>
        <w:br/>
        <w:t>Leyla Demir, Rechtsanwaltsfachangestellte</w:t>
        <w:br/>
        <w:t>Kontrolliert: Paul Hagemann, Rechtsanwalt</w:t>
      </w:r>
    </w:p>
    <w:sectPr w:rsidR="00FC693F" w:rsidRPr="0006063C" w:rsidSect="00034616">
      <w:footerReference w:type="default" r:id="rId9"/>
      <w:pgSz w:w="11906" w:h="16838"/>
      <w:pgMar w:top="1020" w:right="1134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F5F5F"/>
        <w:sz w:val="16"/>
      </w:rPr>
      <w:t xml:space="preserve">H&amp;W 2026-MK-4306 | KAPSEL 42 gegen CAPSULA42 | </w:t>
    </w:r>
    <w:r>
      <w:rPr>
        <w:rFonts w:ascii="Times New Roman" w:hAnsi="Times New Roman"/>
        <w:color w:val="5F5F5F"/>
        <w:sz w:val="16"/>
      </w:rPr>
      <w:t xml:space="preserve">Seite </w:t>
    </w:r>
    <w:r>
      <w:rPr>
        <w:rFonts w:ascii="Times New Roman" w:hAnsi="Times New Roman"/>
        <w:color w:val="5F5F5F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2336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3364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Times New Roman" w:hAnsi="Times New Roman"/>
      <w:b/>
      <w:color w:val="23364D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