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364D"/>
          <w:sz w:val="30"/>
        </w:rPr>
        <w:t>RHEINTOR CAPITAL PARTNERS GMBH</w:t>
      </w:r>
    </w:p>
    <w:p>
      <w:pPr>
        <w:jc w:val="center"/>
      </w:pPr>
      <w:r>
        <w:rPr>
          <w:sz w:val="18"/>
        </w:rPr>
        <w:t>Projekt Nachtfalter | Virtueller Datenraum</w:t>
      </w:r>
    </w:p>
    <w:p>
      <w:pPr>
        <w:jc w:val="center"/>
      </w:pPr>
      <w:r>
        <w:rPr>
          <w:sz w:val="17"/>
        </w:rPr>
        <w:t>Bockenheimer Landstraße 51 | 60325 Frankfurt am Main | Telefon 069 247118-0 | dealteam@rheintor-capital.de</w:t>
      </w:r>
    </w:p>
    <w:p>
      <w:pPr>
        <w:pStyle w:val="Title"/>
      </w:pPr>
      <w:r>
        <w:t>Datenraumindex und Zugriffsprotokoll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Datenraum</w:t>
            </w:r>
          </w:p>
        </w:tc>
        <w:tc>
          <w:tcPr>
            <w:tcW w:type="dxa" w:w="64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Nachtfalter_HPT_2026, Instanz 04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Indexstand</w:t>
            </w:r>
          </w:p>
        </w:tc>
        <w:tc>
          <w:tcPr>
            <w:tcW w:type="dxa" w:w="64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18. Mai 2026, 07:35 Uhr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Export durch</w:t>
            </w:r>
          </w:p>
        </w:tc>
        <w:tc>
          <w:tcPr>
            <w:tcW w:type="dxa" w:w="64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Miriam Kolb, Transaction Services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Zugriffsgruppe</w:t>
            </w:r>
          </w:p>
        </w:tc>
        <w:tc>
          <w:tcPr>
            <w:tcW w:type="dxa" w:w="64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Rheintor Buyout Team, externe Beratergruppen Banking, Tax und Legal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Dokumentzahl</w:t>
            </w:r>
          </w:p>
        </w:tc>
        <w:tc>
          <w:tcPr>
            <w:tcW w:type="dxa" w:w="64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482 Dateien in 17 Hauptordnern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b/>
                <w:sz w:val="19"/>
              </w:rPr>
              <w:t>Letzter Upload</w:t>
            </w:r>
          </w:p>
        </w:tc>
        <w:tc>
          <w:tcPr>
            <w:tcW w:type="dxa" w:w="646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9"/>
              </w:rPr>
              <w:t>18. Mai 2026, 06:58 Uhr, Ordner 07.04 Kundenfinanzierung</w:t>
            </w:r>
          </w:p>
        </w:tc>
      </w:tr>
    </w:tbl>
    <w:p/>
    <w:p>
      <w:pPr>
        <w:pStyle w:val="Heading1"/>
      </w:pPr>
      <w:r>
        <w:t>1. Ordner- und Dokumentenstand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191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Ordner</w:t>
            </w:r>
          </w:p>
        </w:tc>
        <w:tc>
          <w:tcPr>
            <w:tcW w:type="dxa" w:w="2835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Inhalt</w:t>
            </w:r>
          </w:p>
        </w:tc>
        <w:tc>
          <w:tcPr>
            <w:tcW w:type="dxa" w:w="737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Dateien</w:t>
            </w:r>
          </w:p>
        </w:tc>
        <w:tc>
          <w:tcPr>
            <w:tcW w:type="dxa" w:w="850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Stand</w:t>
            </w:r>
          </w:p>
        </w:tc>
        <w:tc>
          <w:tcPr>
            <w:tcW w:type="dxa" w:w="3798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Hinweis des Uploaders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01 Corporate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Satzung, Beteiligungen, Gesellschafterbeschlüsse</w:t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46</w:t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17.05.</w:t>
            </w:r>
          </w:p>
        </w:tc>
        <w:tc>
          <w:tcPr>
            <w:tcW w:type="dxa" w:w="37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Liste Tochtergesellschaften noch ohne Polen-Niederlassung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02 Finance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Jahresabschlüsse, BWA, Schuldschein 2022, Zahlstellenpost</w:t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81</w:t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18.05.</w:t>
            </w:r>
          </w:p>
        </w:tc>
        <w:tc>
          <w:tcPr>
            <w:tcW w:type="dxa" w:w="37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Consent-Matrix angekündigt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03 Financing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LMA Facility, Sicherheiten, Covenants, Waiver</w:t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54</w:t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17.05.</w:t>
            </w:r>
          </w:p>
        </w:tc>
        <w:tc>
          <w:tcPr>
            <w:tcW w:type="dxa" w:w="37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Originale Unterschriftsseiten teilweise nur als Scan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04 Commercial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Kundenverträge, Auftragsbestand, Preisanpassungen</w:t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39</w:t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16.05.</w:t>
            </w:r>
          </w:p>
        </w:tc>
        <w:tc>
          <w:tcPr>
            <w:tcW w:type="dxa" w:w="37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Top-20-Verträge vorhanden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05 Legal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Wesentliche Verträge, Streitigkeiten, Vollmachten</w:t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61</w:t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18.05.</w:t>
            </w:r>
          </w:p>
        </w:tc>
        <w:tc>
          <w:tcPr>
            <w:tcW w:type="dxa" w:w="37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Klage Heidelberg 7 O 114/26 nachgereicht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06 HR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Managementverträge, Bonuspläne, Roll-over-Unterlagen</w:t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44</w:t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17.05.</w:t>
            </w:r>
          </w:p>
        </w:tc>
        <w:tc>
          <w:tcPr>
            <w:tcW w:type="dxa" w:w="37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Bewertung Managementanteile offen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07 NPL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Portfolio Tape, Sicherheiten, Servicing, Schuldnerpost</w:t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73</w:t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18.05.</w:t>
            </w:r>
          </w:p>
        </w:tc>
        <w:tc>
          <w:tcPr>
            <w:tcW w:type="dxa" w:w="37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27 Verträge als notleidend markiert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08 Tax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Betriebsprüfung, Organschaft, Verlustvorträge</w:t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29</w:t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15.05.</w:t>
            </w:r>
          </w:p>
        </w:tc>
        <w:tc>
          <w:tcPr>
            <w:tcW w:type="dxa" w:w="37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Prüfungsanordnung 2026 fehlt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09 IP und IT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Patente, Lizenzen, ERP, Vorfallsberichte</w:t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31</w:t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16.05.</w:t>
            </w:r>
          </w:p>
        </w:tc>
        <w:tc>
          <w:tcPr>
            <w:tcW w:type="dxa" w:w="37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Lizenzliste Version 3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10 ESG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Umweltgenehmigungen, Energie, Lieferkette</w:t>
            </w:r>
          </w:p>
        </w:tc>
        <w:tc>
          <w:tcPr>
            <w:tcW w:type="dxa" w:w="73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24</w:t>
            </w:r>
          </w:p>
        </w:tc>
        <w:tc>
          <w:tcPr>
            <w:tcW w:type="dxa" w:w="85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14.05.</w:t>
            </w:r>
          </w:p>
        </w:tc>
        <w:tc>
          <w:tcPr>
            <w:tcW w:type="dxa" w:w="37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Standorte Heidelberg und Brno</w:t>
            </w:r>
          </w:p>
        </w:tc>
      </w:tr>
    </w:tbl>
    <w:p/>
    <w:p>
      <w:pPr>
        <w:pStyle w:val="Heading1"/>
      </w:pPr>
      <w:r>
        <w:t>2. Schlüsseldateien Finanzierung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247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VDR-ID</w:t>
            </w:r>
          </w:p>
        </w:tc>
        <w:tc>
          <w:tcPr>
            <w:tcW w:type="dxa" w:w="3742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Dateiname</w:t>
            </w:r>
          </w:p>
        </w:tc>
        <w:tc>
          <w:tcPr>
            <w:tcW w:type="dxa" w:w="1304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Datum</w:t>
            </w:r>
          </w:p>
        </w:tc>
        <w:tc>
          <w:tcPr>
            <w:tcW w:type="dxa" w:w="1134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Seiten</w:t>
            </w:r>
          </w:p>
        </w:tc>
        <w:tc>
          <w:tcPr>
            <w:tcW w:type="dxa" w:w="1984"/>
            <w:vAlign w:val="center"/>
            <w:shd w:fill="DCE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b/>
                <w:sz w:val="17"/>
              </w:rPr>
              <w:t>Zugriff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02.07.014</w:t>
            </w:r>
          </w:p>
        </w:tc>
        <w:tc>
          <w:tcPr>
            <w:tcW w:type="dxa" w:w="374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Schuldscheinbedingungen_HPT_2022.pdf</w:t>
            </w:r>
          </w:p>
        </w:tc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14.09.2022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86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Legal/Banking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02.07.018</w:t>
            </w:r>
          </w:p>
        </w:tc>
        <w:tc>
          <w:tcPr>
            <w:tcW w:type="dxa" w:w="374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Zahlstellenkorrespondenz_Consent_2025.pdf</w:t>
            </w:r>
          </w:p>
        </w:tc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22.11.2025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31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Legal/Banking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03.02.004</w:t>
            </w:r>
          </w:p>
        </w:tc>
        <w:tc>
          <w:tcPr>
            <w:tcW w:type="dxa" w:w="374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Facility_Agreement_Amendment_Restatement.pdf</w:t>
            </w:r>
          </w:p>
        </w:tc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03.02.2024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412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Banking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03.03.011</w:t>
            </w:r>
          </w:p>
        </w:tc>
        <w:tc>
          <w:tcPr>
            <w:tcW w:type="dxa" w:w="374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Sicherheitenliste_Stand_2026-04-30.xlsx</w:t>
            </w:r>
          </w:p>
        </w:tc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30.04.2026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8 Blätter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Banking/Legal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07.01.002</w:t>
            </w:r>
          </w:p>
        </w:tc>
        <w:tc>
          <w:tcPr>
            <w:tcW w:type="dxa" w:w="374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Portfolio_Tape_NPL_2026-04-30.xlsx</w:t>
            </w:r>
          </w:p>
        </w:tc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30.04.2026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180 Zeilen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NPL/Legal</w:t>
            </w:r>
          </w:p>
        </w:tc>
      </w:tr>
      <w:tr>
        <w:trPr>
          <w:cantSplit/>
        </w:trP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07.03.007</w:t>
            </w:r>
          </w:p>
        </w:tc>
        <w:tc>
          <w:tcPr>
            <w:tcW w:type="dxa" w:w="374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Servicing_Agreement_2019.pdf</w:t>
            </w:r>
          </w:p>
        </w:tc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18.06.2019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74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Times New Roman" w:hAnsi="Times New Roman"/>
                <w:sz w:val="17"/>
              </w:rPr>
              <w:t>NPL/Legal</w:t>
            </w:r>
          </w:p>
        </w:tc>
      </w:tr>
    </w:tbl>
    <w:p/>
    <w:p>
      <w:pPr>
        <w:pStyle w:val="Heading1"/>
      </w:pPr>
      <w:r>
        <w:t>3. Offene Uploads laut Q&amp;A-Portal</w:t>
      </w:r>
    </w:p>
    <w:p>
      <w:r>
        <w:t>Q&amp;A 117: Vollständige Change-of-Control-Korrespondenz zu den Tranchen B und D. Verantwortlich auf Verkäuferseite: Dr. Ines Kappel. Zieltermin 19. Mai 2026, 12:00 Uhr.</w:t>
      </w:r>
    </w:p>
    <w:p>
      <w:r>
        <w:t>Q&amp;A 124: Einzelvertrag und Sicherheitenunterlagen zu den sechs größten notleidenden Kundenforderungen. Verantwortlich: Henning Völker, Credit Operations. Zieltermin 20. Mai 2026.</w:t>
      </w:r>
    </w:p>
    <w:p>
      <w:r>
        <w:t>Q&amp;A 131: Bewertung der Managementbeteiligung und aktueller Entwurf des Participation Agreement. Verantwortlich: Lucia Brandt, HR. Zieltermin noch nicht bestätigt.</w:t>
      </w:r>
    </w:p>
    <w:p>
      <w:pPr>
        <w:pStyle w:val="Heading1"/>
      </w:pPr>
      <w:r>
        <w:t>4. Exportvermerk</w:t>
      </w:r>
    </w:p>
    <w:p>
      <w:r>
        <w:t>Der Index bildet den technischen Stand des Datenraums zum oben genannten Zeitpunkt ab. Er bestätigt weder Vollständigkeit noch rechtliche Einordnung. Dateien mit späterem Upload erhalten eine neue Versionsnummer; lokale Umbenennungen sind im Q&amp;A-Portal zu dokumentieren.</w:t>
      </w:r>
    </w:p>
    <w:p>
      <w:r>
        <w:t>Miriam Kolb</w:t>
        <w:br/>
        <w:t>Transaction Services</w:t>
        <w:br/>
        <w:t>Rheintor Capital Partners GmbH</w:t>
      </w:r>
    </w:p>
    <w:sectPr w:rsidR="00FC693F" w:rsidRPr="0006063C" w:rsidSect="00034616">
      <w:footerReference w:type="default" r:id="rId9"/>
      <w:pgSz w:w="11906" w:h="16838"/>
      <w:pgMar w:top="1020" w:right="1134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F5F5F"/>
        <w:sz w:val="16"/>
      </w:rPr>
      <w:t xml:space="preserve">Projekt Nachtfalter | Datenraumexport 18. Mai 2026 | </w:t>
    </w:r>
    <w:r>
      <w:rPr>
        <w:rFonts w:ascii="Times New Roman" w:hAnsi="Times New Roman"/>
        <w:color w:val="5F5F5F"/>
        <w:sz w:val="16"/>
      </w:rPr>
      <w:t xml:space="preserve">Seite </w:t>
    </w:r>
    <w:r>
      <w:rPr>
        <w:rFonts w:ascii="Times New Roman" w:hAnsi="Times New Roman"/>
        <w:color w:val="5F5F5F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2336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3364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Times New Roman" w:hAnsi="Times New Roman"/>
      <w:b/>
      <w:color w:val="23364D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