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3364D"/>
          <w:sz w:val="26"/>
        </w:rPr>
        <w:t>KNOBLAUCH | SPERLING | KROHNSTETTER</w:t>
      </w:r>
    </w:p>
    <w:p>
      <w:pPr>
        <w:jc w:val="center"/>
      </w:pPr>
      <w:r>
        <w:rPr>
          <w:sz w:val="17"/>
        </w:rPr>
        <w:t>Rechtsanwälte PartG mbB | Theresienstraße 19 | 93047 Regensburg</w:t>
      </w:r>
    </w:p>
    <w:p>
      <w:pPr>
        <w:jc w:val="center"/>
      </w:pPr>
      <w:r>
        <w:rPr>
          <w:sz w:val="17"/>
        </w:rPr>
        <w:t>Telefon 0941 560821-0 | Telefax 0941 560821-19 | kanzlei@ksk-regensburg.de</w:t>
      </w:r>
    </w:p>
    <w:tbl>
      <w:tblPr>
        <w:tblW w:type="auto" w:w="0"/>
        <w:jc w:val="right"/>
        <w:tblLayout w:type="fixed"/>
        <w:tblLook w:firstColumn="1" w:firstRow="1" w:lastColumn="0" w:lastRow="0" w:noHBand="0" w:noVBand="1" w:val="04A0"/>
      </w:tblPr>
      <w:tblGrid>
        <w:gridCol w:w="4719"/>
        <w:gridCol w:w="4719"/>
      </w:tblGrid>
      <w:tr>
        <w:tc>
          <w:tcPr>
            <w:tcW w:type="dxa" w:w="5556"/>
            <w:tcMar>
              <w:top w:w="45" w:type="dxa"/>
              <w:start w:w="70" w:type="dxa"/>
              <w:bottom w:w="45" w:type="dxa"/>
              <w:end w:w="70" w:type="dxa"/>
            </w:tcMar>
          </w:tcPr>
          <w:p>
            <w:r>
              <w:rPr>
                <w:b/>
                <w:sz w:val="17"/>
              </w:rPr>
              <w:t>Unser Zeichen</w:t>
            </w:r>
          </w:p>
        </w:tc>
        <w:tc>
          <w:tcPr>
            <w:tcW w:type="dxa" w:w="3402"/>
            <w:tcMar>
              <w:top w:w="45" w:type="dxa"/>
              <w:start w:w="70" w:type="dxa"/>
              <w:bottom w:w="45" w:type="dxa"/>
              <w:end w:w="70" w:type="dxa"/>
            </w:tcMar>
          </w:tcPr>
          <w:p>
            <w:r>
              <w:rPr>
                <w:sz w:val="17"/>
              </w:rPr>
              <w:t>SKS/246-24 HSi</w:t>
            </w:r>
          </w:p>
        </w:tc>
      </w:tr>
      <w:tr>
        <w:tc>
          <w:tcPr>
            <w:tcW w:type="dxa" w:w="5556"/>
            <w:tcMar>
              <w:top w:w="45" w:type="dxa"/>
              <w:start w:w="70" w:type="dxa"/>
              <w:bottom w:w="45" w:type="dxa"/>
              <w:end w:w="70" w:type="dxa"/>
            </w:tcMar>
          </w:tcPr>
          <w:p>
            <w:r>
              <w:rPr>
                <w:b/>
                <w:sz w:val="17"/>
              </w:rPr>
              <w:t>Datum</w:t>
            </w:r>
          </w:p>
        </w:tc>
        <w:tc>
          <w:tcPr>
            <w:tcW w:type="dxa" w:w="3402"/>
            <w:tcMar>
              <w:top w:w="45" w:type="dxa"/>
              <w:start w:w="70" w:type="dxa"/>
              <w:bottom w:w="45" w:type="dxa"/>
              <w:end w:w="70" w:type="dxa"/>
            </w:tcMar>
          </w:tcPr>
          <w:p>
            <w:r>
              <w:rPr>
                <w:sz w:val="17"/>
              </w:rPr>
              <w:t>4. Juni 2024</w:t>
            </w:r>
          </w:p>
        </w:tc>
      </w:tr>
    </w:tbl>
    <w:p/>
    <w:p>
      <w:r>
        <w:t>An das</w:t>
        <w:br/>
        <w:t>Landgericht Regensburg</w:t>
        <w:br/>
        <w:t>4. Zivilkammer</w:t>
        <w:br/>
        <w:t>Augustenstraße 5</w:t>
        <w:br/>
        <w:t>93049 Regensburg</w:t>
      </w:r>
    </w:p>
    <w:p>
      <w:r>
        <w:t>Über das besondere elektronische Anwaltspostfach</w:t>
      </w:r>
    </w:p>
    <w:p>
      <w:pPr>
        <w:pStyle w:val="Heading1"/>
      </w:pPr>
      <w:r>
        <w:t>Klage</w:t>
      </w:r>
    </w:p>
    <w:p>
      <w:r>
        <w:t>des Landwirts Hartmut Sieglinger, Sonneberg 14, 93047 Regensburg, Kläger,</w:t>
      </w:r>
    </w:p>
    <w:p>
      <w:r>
        <w:t>Prozessbevollmächtigte: Knoblauch | Sperling | Krohnstetter, Rechtsanwälte PartG mbB, Theresienstraße 19, 93047 Regensburg,</w:t>
      </w:r>
    </w:p>
    <w:p>
      <w:r>
        <w:t>gegen die Burgwald Energietechnik GmbH, vertreten durch den Geschäftsführer Roman Burgwald, Industriestraße 88, 93128 Regenstauf, Beklagte,</w:t>
      </w:r>
    </w:p>
    <w:p>
      <w:r>
        <w:t>wegen Mängeln einer Photovoltaikanlage und Schadensersatzes</w:t>
      </w:r>
    </w:p>
    <w:p>
      <w:r>
        <w:rPr>
          <w:b/>
        </w:rPr>
        <w:t>Vorläufiger Streitwert:</w:t>
      </w:r>
      <w:r>
        <w:t xml:space="preserve"> 187450 Euro</w:t>
      </w:r>
    </w:p>
    <w:p>
      <w:pPr>
        <w:pStyle w:val="Heading1"/>
      </w:pPr>
      <w:r>
        <w:t>Anträge</w:t>
      </w:r>
    </w:p>
    <w:p>
      <w:pPr>
        <w:pStyle w:val="ListNumber"/>
      </w:pPr>
      <w:r>
        <w:t>Die Beklagte wird verurteilt, an den Kläger 142860 Euro nebst Zinsen in Höhe von neun Prozentpunkten über dem Basiszinssatz seit dem 19. April 2024 zu zahlen.</w:t>
      </w:r>
    </w:p>
    <w:p>
      <w:pPr>
        <w:pStyle w:val="ListNumber"/>
      </w:pPr>
      <w:r>
        <w:t>Es wird festgestellt, dass die Beklagte verpflichtet ist, dem Kläger jeden weiteren Schaden zu ersetzen, der aus Mängeln der am 22. März 2023 abgenommenen Photovoltaikanlage auf dem Hauptstall des Hofes Sonneberg 14 entsteht.</w:t>
      </w:r>
    </w:p>
    <w:p>
      <w:pPr>
        <w:pStyle w:val="ListNumber"/>
      </w:pPr>
      <w:r>
        <w:t>Die Beklagte trägt die Kosten des Rechtsstreits.</w:t>
      </w:r>
    </w:p>
    <w:p>
      <w:pPr>
        <w:pStyle w:val="Heading1"/>
      </w:pPr>
      <w:r>
        <w:t>I. Parteien und Vertrag</w:t>
      </w:r>
    </w:p>
    <w:p>
      <w:r>
        <w:t>Der Kläger bewirtschaftet am östlichen Stadtrand von Regensburg einen Gemüsebaubetrieb mit 38 Hektar Freilandfläche, zwei Folientunneln, Kühlhaus und Hofladen. Der Stromverbrauch fällt vor allem für Kühlung, Bewässerung und die Lüftung des Hauptstalls an. Die Beklagte plant und errichtet gewerbliche Photovoltaikanlagen.</w:t>
      </w:r>
    </w:p>
    <w:p>
      <w:r>
        <w:t>Nach einem Vor-Ort-Termin am 22. September 2022 bot die Beklagte am 27. September 2022 eine dachparallele Anlage mit 188 Modulen zu je 450 Watt, drei Wechselrichtern Solartec-Bavaria SB-25 und einer installierten Gleichstrom-Nennleistung von 84,6 kWp an. Der Nettopreis betrug 151260 Euro, der Bruttopreis 180000 Euro. Der Kläger nahm das Angebot am 9. Oktober 2022 schriftlich an.</w:t>
      </w:r>
    </w:p>
    <w:p>
      <w:r>
        <w:t>Beweis: Werkvertrag und Leistungsbeschreibung vom 9. Oktober 2022, Anlage K 1; Zeugnis der Betriebsleiterin Sabine Kroll, Am Mühlbach 7, 93055 Regensburg.</w:t>
      </w:r>
    </w:p>
    <w:p>
      <w:r>
        <w:t>Die Beklagte montierte die Anlage zwischen dem 6. Februar und dem 17. März 2023. Das Abnahmeprotokoll vom 22. März 2023 nennt zwei Restpunkte: die Beschriftung der Unterverteilung und die Nachreichung eines Prüfprotokolls. Die Beklagte übersandte das Prüfprotokoll am 31. März 2023. Der Kläger zahlte die Schlussrechnung am 4. April 2023.</w:t>
      </w:r>
    </w:p>
    <w:p>
      <w:pPr>
        <w:pStyle w:val="Heading1"/>
      </w:pPr>
      <w:r>
        <w:t>II. Ertrag und Wechselrichterausfälle</w:t>
      </w:r>
    </w:p>
    <w:p>
      <w:r>
        <w:t>Der Anlagenmonitor wies erstmals am 19. Mai 2023 eine Abweichung zwischen den drei Wechselrichtersträngen aus. Der mittlere Strang lag an wolkenarmen Tagen wiederholt 18 bis 24 Prozent unter den beiden Vergleichssträngen. Der Kläger meldete dies der Beklagten telefonisch am 22. Mai 2023 und per E-Mail am 24. Mai 2023. Servicetechniker Karl Saubacher setzte den Wechselrichter am 2. Juni 2023 zurück, nahm aber keine Strangmessung vor.</w:t>
      </w:r>
    </w:p>
    <w:p>
      <w:r>
        <w:t>Am 8. und 21. August 2023 fielen zunächst Wechselrichter 2 und sodann Wechselrichter 3 aus. Die Fehlercodes E-37 und T-19 sind im Monitorprotokoll dokumentiert. Zwischen dem 8. August und dem 4. September 2023 liefen jeweils nur ein oder zwei Wechselrichter. Die Beklagte tauschte am 4. September 2023 zwei Temperatursensoren aus. Weitere Ausfälle folgten am 18. Oktober und 11. November 2023.</w:t>
      </w:r>
    </w:p>
    <w:p>
      <w:r>
        <w:t>Beweis: Export des Anlagenmonitors, Anlage K 5; Fehlerprotokoll des Herstellers, Anlage K 6; Zeugnis Karl Saubacher, zu laden über die Beklagte.</w:t>
      </w:r>
    </w:p>
    <w:p>
      <w:r>
        <w:t>Für das Kalenderjahr 2024 ergibt sich aus den Zählerständen eine Einspeisung und Eigennutzung von insgesamt 67830 kWh. Der im Angebot zugrunde gelegte standortbezogene Jahresertrag beträgt 80100 kWh. Der Kläger macht nicht die Differenz zwischen kWp und kWh geltend, sondern die dokumentierte Mindererzeugung gegenüber der vertraglichen Ertragsprognose unter Berücksichtigung der tatsächlichen Einstrahlung.</w:t>
      </w:r>
    </w:p>
    <w:p>
      <w:pPr>
        <w:pStyle w:val="Heading1"/>
      </w:pPr>
      <w:r>
        <w:t>III. Wassereintritt am Hauptstall</w:t>
      </w:r>
    </w:p>
    <w:p>
      <w:r>
        <w:t>Am 18. November 2023 drang nach mehrstündigem Starkregen an vier Dachpfetten Wasser ein. Betriebsleiterin Kroll bemerkte um 5:42 Uhr Tropfwasser oberhalb des Heulagers. Der Kläger ließ die betroffenen Ballen auslagern und verständigte noch am selben Morgen die Beklagte. Auf Fotografien vom 18. und 19. November sind Feuchtespuren jeweils im Bereich von Dachankern der Modulunterkonstruktion zu erkennen.</w:t>
      </w:r>
    </w:p>
    <w:p>
      <w:r>
        <w:t>Der Dachdeckermeister Georg Lindner öffnete am 21. November 2023 zwei Anschlussbereiche. Nach seinem Arbeitszettel waren Dichtmanschetten gestaucht und eine Schraube schräg gesetzt. Er nahm nur eine Notabdichtung vor, weil die Modulfelder ohne Abstimmung mit der Beklagten nicht demontiert werden sollten.</w:t>
      </w:r>
    </w:p>
    <w:p>
      <w:r>
        <w:t>Beweis: Fotodokumentation, Anlage K 7; Arbeitszettel Lindner Bedachungen vom 21. November 2023, Anlage K 8; Zeugnis Georg Lindner, Prüfeninger Straße 117, 93049 Regensburg.</w:t>
      </w:r>
    </w:p>
    <w:p>
      <w:pPr>
        <w:pStyle w:val="Heading1"/>
      </w:pPr>
      <w:r>
        <w:t>IV. Mängelanzeige und Fristsetzung</w:t>
      </w:r>
    </w:p>
    <w:p>
      <w:r>
        <w:t>Der Kläger rügte die Ausfälle und den Wassereintritt mehrfach. Mit anwaltlichem Schreiben vom 4. April 2024 forderte er die Beklagte auf, bis zum 18. April 2024 die Wechselrichter zu prüfen, eine belastbare Ertragsmessung vorzulegen und die Dachanschlüsse fachgerecht abzudichten. Die Beklagte lehnte mit Schreiben vom 14. April 2024 jede Nachbesserung ab. Sie verwies auf Pappeln am westlichen Nachbargrundstück, eine Störung des örtlichen Netzes und eine angebliche Reinigung mit Hochdruckgerät.</w:t>
      </w:r>
    </w:p>
    <w:p>
      <w:r>
        <w:t>Der Kläger hat die Dachfläche nie mit einem Hochdruckreiniger behandelt. Am 17. November 2023 wurde lediglich der begehbare Traufbereich mit Schlauch und weicher Bürste gereinigt. Die Pappelreihe steht nach Auskunft des Nachbarn seit 2018; im Sommer 2023 wurden dort keine Bäume neu gepflanzt.</w:t>
      </w:r>
    </w:p>
    <w:p>
      <w:r>
        <w:t>Beweis: Anwaltsschreiben vom 4. April 2024, Anlage K 2; Antwort vom 14. April 2024, Anlage K 3; Zeugnis Johann Berghofer, Sonneberg 16, 93047 Regensburg; E-Mail des Nachbarn Ludwig Vilsmeier vom 28. Mai 2024, Anlage K 9.</w:t>
      </w:r>
    </w:p>
    <w:p>
      <w:pPr>
        <w:pStyle w:val="Heading1"/>
      </w:pPr>
      <w:r>
        <w:t>V. Schadenspositionen</w:t>
      </w:r>
    </w:p>
    <w:p>
      <w:r>
        <w:t>Die Sachverständige Dipl.-Ing. Anette Wallner untersuchte die Anlage am 8. und 9. Mai 2024. Ihr Privatgutachten vom 18. Mai 2024 bewertet die Ertragsdaten, die Wechselrichterereignisse und zwölf Dachanschlüsse. Der Kläger legt es als qualifizierten Parteivortrag vor.</w:t>
      </w:r>
    </w:p>
    <w:tbl>
      <w:tblPr>
        <w:tblStyle w:val="TableGrid"/>
        <w:tblW w:type="auto" w:w="0"/>
        <w:jc w:val="center"/>
        <w:tblLayout w:type="fixed"/>
        <w:tblLook w:firstColumn="1" w:firstRow="1" w:lastColumn="0" w:lastRow="0" w:noHBand="0" w:noVBand="1" w:val="04A0"/>
      </w:tblPr>
      <w:tblGrid>
        <w:gridCol w:w="3146"/>
        <w:gridCol w:w="3146"/>
        <w:gridCol w:w="3146"/>
      </w:tblGrid>
      <w:tr>
        <w:trPr>
          <w:tblHeader w:val="true"/>
          <w:cantSplit/>
        </w:trPr>
        <w:tc>
          <w:tcPr>
            <w:tcW w:type="dxa" w:w="3458"/>
            <w:shd w:fill="D9E4EA"/>
            <w:vAlign w:val="center"/>
            <w:tcMar>
              <w:top w:w="90" w:type="dxa"/>
              <w:start w:w="110" w:type="dxa"/>
              <w:bottom w:w="90" w:type="dxa"/>
              <w:end w:w="110" w:type="dxa"/>
            </w:tcMar>
          </w:tcPr>
          <w:p>
            <w:r>
              <w:rPr>
                <w:b/>
                <w:sz w:val="17"/>
              </w:rPr>
              <w:t>Position</w:t>
            </w:r>
          </w:p>
        </w:tc>
        <w:tc>
          <w:tcPr>
            <w:tcW w:type="dxa" w:w="3969"/>
            <w:shd w:fill="D9E4EA"/>
            <w:vAlign w:val="center"/>
            <w:tcMar>
              <w:top w:w="90" w:type="dxa"/>
              <w:start w:w="110" w:type="dxa"/>
              <w:bottom w:w="90" w:type="dxa"/>
              <w:end w:w="110" w:type="dxa"/>
            </w:tcMar>
          </w:tcPr>
          <w:p>
            <w:r>
              <w:rPr>
                <w:b/>
                <w:sz w:val="17"/>
              </w:rPr>
              <w:t>Zeitraum/Beleg</w:t>
            </w:r>
          </w:p>
        </w:tc>
        <w:tc>
          <w:tcPr>
            <w:tcW w:type="dxa" w:w="1474"/>
            <w:shd w:fill="D9E4EA"/>
            <w:vAlign w:val="center"/>
            <w:tcMar>
              <w:top w:w="90" w:type="dxa"/>
              <w:start w:w="110" w:type="dxa"/>
              <w:bottom w:w="90" w:type="dxa"/>
              <w:end w:w="110" w:type="dxa"/>
            </w:tcMar>
          </w:tcPr>
          <w:p>
            <w:r>
              <w:rPr>
                <w:b/>
                <w:sz w:val="17"/>
              </w:rPr>
              <w:t>Betrag</w:t>
            </w:r>
          </w:p>
        </w:tc>
      </w:tr>
      <w:tr>
        <w:trPr>
          <w:cantSplit/>
        </w:trPr>
        <w:tc>
          <w:tcPr>
            <w:tcW w:type="dxa" w:w="3458"/>
            <w:vAlign w:val="center"/>
            <w:tcMar>
              <w:top w:w="90" w:type="dxa"/>
              <w:start w:w="110" w:type="dxa"/>
              <w:bottom w:w="90" w:type="dxa"/>
              <w:end w:w="110" w:type="dxa"/>
            </w:tcMar>
          </w:tcPr>
          <w:p>
            <w:r>
              <w:rPr>
                <w:sz w:val="17"/>
              </w:rPr>
              <w:t>Mehrkosten Strombezug</w:t>
            </w:r>
          </w:p>
        </w:tc>
        <w:tc>
          <w:tcPr>
            <w:tcW w:type="dxa" w:w="3969"/>
            <w:vAlign w:val="center"/>
            <w:tcMar>
              <w:top w:w="90" w:type="dxa"/>
              <w:start w:w="110" w:type="dxa"/>
              <w:bottom w:w="90" w:type="dxa"/>
              <w:end w:w="110" w:type="dxa"/>
            </w:tcMar>
          </w:tcPr>
          <w:p>
            <w:r>
              <w:rPr>
                <w:sz w:val="17"/>
              </w:rPr>
              <w:t>Mai 2023 bis April 2024; Rechnungen K 10</w:t>
            </w:r>
          </w:p>
        </w:tc>
        <w:tc>
          <w:tcPr>
            <w:tcW w:type="dxa" w:w="1474"/>
            <w:vAlign w:val="center"/>
            <w:tcMar>
              <w:top w:w="90" w:type="dxa"/>
              <w:start w:w="110" w:type="dxa"/>
              <w:bottom w:w="90" w:type="dxa"/>
              <w:end w:w="110" w:type="dxa"/>
            </w:tcMar>
          </w:tcPr>
          <w:p>
            <w:r>
              <w:rPr>
                <w:sz w:val="17"/>
              </w:rPr>
              <w:t>28660 Euro</w:t>
            </w:r>
          </w:p>
        </w:tc>
      </w:tr>
      <w:tr>
        <w:trPr>
          <w:cantSplit/>
        </w:trPr>
        <w:tc>
          <w:tcPr>
            <w:tcW w:type="dxa" w:w="3458"/>
            <w:vAlign w:val="center"/>
            <w:tcMar>
              <w:top w:w="90" w:type="dxa"/>
              <w:start w:w="110" w:type="dxa"/>
              <w:bottom w:w="90" w:type="dxa"/>
              <w:end w:w="110" w:type="dxa"/>
            </w:tcMar>
          </w:tcPr>
          <w:p>
            <w:r>
              <w:rPr>
                <w:sz w:val="17"/>
              </w:rPr>
              <w:t>Prüfung und Austausch Wechselrichter</w:t>
            </w:r>
          </w:p>
        </w:tc>
        <w:tc>
          <w:tcPr>
            <w:tcW w:type="dxa" w:w="3969"/>
            <w:vAlign w:val="center"/>
            <w:tcMar>
              <w:top w:w="90" w:type="dxa"/>
              <w:start w:w="110" w:type="dxa"/>
              <w:bottom w:w="90" w:type="dxa"/>
              <w:end w:w="110" w:type="dxa"/>
            </w:tcMar>
          </w:tcPr>
          <w:p>
            <w:r>
              <w:rPr>
                <w:sz w:val="17"/>
              </w:rPr>
              <w:t>Angebot Elektro Riedl vom 16. Mai 2024</w:t>
            </w:r>
          </w:p>
        </w:tc>
        <w:tc>
          <w:tcPr>
            <w:tcW w:type="dxa" w:w="1474"/>
            <w:vAlign w:val="center"/>
            <w:tcMar>
              <w:top w:w="90" w:type="dxa"/>
              <w:start w:w="110" w:type="dxa"/>
              <w:bottom w:w="90" w:type="dxa"/>
              <w:end w:w="110" w:type="dxa"/>
            </w:tcMar>
          </w:tcPr>
          <w:p>
            <w:r>
              <w:rPr>
                <w:sz w:val="17"/>
              </w:rPr>
              <w:t>23400 Euro</w:t>
            </w:r>
          </w:p>
        </w:tc>
      </w:tr>
      <w:tr>
        <w:trPr>
          <w:cantSplit/>
        </w:trPr>
        <w:tc>
          <w:tcPr>
            <w:tcW w:type="dxa" w:w="3458"/>
            <w:vAlign w:val="center"/>
            <w:tcMar>
              <w:top w:w="90" w:type="dxa"/>
              <w:start w:w="110" w:type="dxa"/>
              <w:bottom w:w="90" w:type="dxa"/>
              <w:end w:w="110" w:type="dxa"/>
            </w:tcMar>
          </w:tcPr>
          <w:p>
            <w:r>
              <w:rPr>
                <w:sz w:val="17"/>
              </w:rPr>
              <w:t>Trocknung, Reinigung und Heuverlust</w:t>
            </w:r>
          </w:p>
        </w:tc>
        <w:tc>
          <w:tcPr>
            <w:tcW w:type="dxa" w:w="3969"/>
            <w:vAlign w:val="center"/>
            <w:tcMar>
              <w:top w:w="90" w:type="dxa"/>
              <w:start w:w="110" w:type="dxa"/>
              <w:bottom w:w="90" w:type="dxa"/>
              <w:end w:w="110" w:type="dxa"/>
            </w:tcMar>
          </w:tcPr>
          <w:p>
            <w:r>
              <w:rPr>
                <w:sz w:val="17"/>
              </w:rPr>
              <w:t>Rechnungen und Inventurliste K 11</w:t>
            </w:r>
          </w:p>
        </w:tc>
        <w:tc>
          <w:tcPr>
            <w:tcW w:type="dxa" w:w="1474"/>
            <w:vAlign w:val="center"/>
            <w:tcMar>
              <w:top w:w="90" w:type="dxa"/>
              <w:start w:w="110" w:type="dxa"/>
              <w:bottom w:w="90" w:type="dxa"/>
              <w:end w:w="110" w:type="dxa"/>
            </w:tcMar>
          </w:tcPr>
          <w:p>
            <w:r>
              <w:rPr>
                <w:sz w:val="17"/>
              </w:rPr>
              <w:t>41200 Euro</w:t>
            </w:r>
          </w:p>
        </w:tc>
      </w:tr>
      <w:tr>
        <w:trPr>
          <w:cantSplit/>
        </w:trPr>
        <w:tc>
          <w:tcPr>
            <w:tcW w:type="dxa" w:w="3458"/>
            <w:vAlign w:val="center"/>
            <w:tcMar>
              <w:top w:w="90" w:type="dxa"/>
              <w:start w:w="110" w:type="dxa"/>
              <w:bottom w:w="90" w:type="dxa"/>
              <w:end w:w="110" w:type="dxa"/>
            </w:tcMar>
          </w:tcPr>
          <w:p>
            <w:r>
              <w:rPr>
                <w:sz w:val="17"/>
              </w:rPr>
              <w:t>Dachanschlüsse und Modulhalter</w:t>
            </w:r>
          </w:p>
        </w:tc>
        <w:tc>
          <w:tcPr>
            <w:tcW w:type="dxa" w:w="3969"/>
            <w:vAlign w:val="center"/>
            <w:tcMar>
              <w:top w:w="90" w:type="dxa"/>
              <w:start w:w="110" w:type="dxa"/>
              <w:bottom w:w="90" w:type="dxa"/>
              <w:end w:w="110" w:type="dxa"/>
            </w:tcMar>
          </w:tcPr>
          <w:p>
            <w:r>
              <w:rPr>
                <w:sz w:val="17"/>
              </w:rPr>
              <w:t>Kalkulation Wallner, Gutachten Seiten 31 bis 36</w:t>
            </w:r>
          </w:p>
        </w:tc>
        <w:tc>
          <w:tcPr>
            <w:tcW w:type="dxa" w:w="1474"/>
            <w:vAlign w:val="center"/>
            <w:tcMar>
              <w:top w:w="90" w:type="dxa"/>
              <w:start w:w="110" w:type="dxa"/>
              <w:bottom w:w="90" w:type="dxa"/>
              <w:end w:w="110" w:type="dxa"/>
            </w:tcMar>
          </w:tcPr>
          <w:p>
            <w:r>
              <w:rPr>
                <w:sz w:val="17"/>
              </w:rPr>
              <w:t>49600 Euro</w:t>
            </w:r>
          </w:p>
        </w:tc>
      </w:tr>
      <w:tr>
        <w:trPr>
          <w:cantSplit/>
        </w:trPr>
        <w:tc>
          <w:tcPr>
            <w:tcW w:type="dxa" w:w="3458"/>
            <w:vAlign w:val="center"/>
            <w:tcMar>
              <w:top w:w="90" w:type="dxa"/>
              <w:start w:w="110" w:type="dxa"/>
              <w:bottom w:w="90" w:type="dxa"/>
              <w:end w:w="110" w:type="dxa"/>
            </w:tcMar>
          </w:tcPr>
          <w:p>
            <w:r>
              <w:rPr>
                <w:sz w:val="17"/>
              </w:rPr>
              <w:t>Gesamt</w:t>
            </w:r>
          </w:p>
        </w:tc>
        <w:tc>
          <w:tcPr>
            <w:tcW w:type="dxa" w:w="3969"/>
            <w:vAlign w:val="center"/>
            <w:tcMar>
              <w:top w:w="90" w:type="dxa"/>
              <w:start w:w="110" w:type="dxa"/>
              <w:bottom w:w="90" w:type="dxa"/>
              <w:end w:w="110" w:type="dxa"/>
            </w:tcMar>
          </w:tcPr>
          <w:p>
            <w:r>
              <w:rPr>
                <w:sz w:val="17"/>
              </w:rPr>
            </w:r>
          </w:p>
        </w:tc>
        <w:tc>
          <w:tcPr>
            <w:tcW w:type="dxa" w:w="1474"/>
            <w:vAlign w:val="center"/>
            <w:tcMar>
              <w:top w:w="90" w:type="dxa"/>
              <w:start w:w="110" w:type="dxa"/>
              <w:bottom w:w="90" w:type="dxa"/>
              <w:end w:w="110" w:type="dxa"/>
            </w:tcMar>
          </w:tcPr>
          <w:p>
            <w:r>
              <w:rPr>
                <w:sz w:val="17"/>
              </w:rPr>
              <w:t>142860 Euro</w:t>
            </w:r>
          </w:p>
        </w:tc>
      </w:tr>
    </w:tbl>
    <w:p/>
    <w:p>
      <w:r>
        <w:t>Die Mehrkosten beruhen auf den Monatsrechnungen des Stromlieferanten und den Zählerwerten. Der Heuverlust betrifft 96 Rundballen, die wegen erhöhter Feuchtigkeit nicht mehr verfüttert werden konnten. Die Kalkulation der Dacharbeiten enthält Gerüst, abschnittsweise Demontage, Ersatz der Dichtmanschetten und Wiederaufbau.</w:t>
      </w:r>
    </w:p>
    <w:p>
      <w:pPr>
        <w:pStyle w:val="Heading1"/>
      </w:pPr>
      <w:r>
        <w:t>VI. Rechtliche Einordnung</w:t>
      </w:r>
    </w:p>
    <w:p>
      <w:r>
        <w:t>Die installierte Anlage ist ein Werk im Sinne des Paragrafen 631 BGB. Der Kläger stützt den Zahlungsantrag auf Paragraf 634 Nummer 4, Paragrafen 280 Absatz 1 und 3 sowie 281 BGB. Die Beklagte erhielt Gelegenheit zur Nacherfüllung und lehnte diese vor Fristablauf ernsthaft und endgültig ab. Die behaupteten Ursachen aus dem Verantwortungsbereich des Klägers treffen nach dessen Vortrag nicht zu.</w:t>
      </w:r>
    </w:p>
    <w:p>
      <w:r>
        <w:t>Das Feststellungsinteresse folgt daraus, dass die Entwicklung der Feuchtigkeitsschäden und der Mindererträge noch nicht abgeschlossen ist. Welche Ursache technisch maßgeblich ist und welche Arbeiten erforderlich sind, wird sachverständig zu klären sein.</w:t>
      </w:r>
    </w:p>
    <w:p>
      <w:pPr>
        <w:pStyle w:val="Heading1"/>
      </w:pPr>
      <w:r>
        <w:t>VII. Anlagen</w:t>
      </w:r>
    </w:p>
    <w:p>
      <w:pPr>
        <w:pStyle w:val="ListBullet"/>
      </w:pPr>
      <w:r>
        <w:t>K 1 Werkvertrag und Leistungsbeschreibung vom 9. Oktober 2022</w:t>
      </w:r>
    </w:p>
    <w:p>
      <w:pPr>
        <w:pStyle w:val="ListBullet"/>
      </w:pPr>
      <w:r>
        <w:t>K 2 Mängel- und Fristsetzungsschreiben vom 4. April 2024</w:t>
      </w:r>
    </w:p>
    <w:p>
      <w:pPr>
        <w:pStyle w:val="ListBullet"/>
      </w:pPr>
      <w:r>
        <w:t>K 3 Antwort der Beklagten vom 14. April 2024</w:t>
      </w:r>
    </w:p>
    <w:p>
      <w:pPr>
        <w:pStyle w:val="ListBullet"/>
      </w:pPr>
      <w:r>
        <w:t>K 4 Privatgutachten Wallner vom 18. Mai 2024</w:t>
      </w:r>
    </w:p>
    <w:p>
      <w:pPr>
        <w:pStyle w:val="ListBullet"/>
      </w:pPr>
      <w:r>
        <w:t>K 5 Anlagenmonitor-Export</w:t>
      </w:r>
    </w:p>
    <w:p>
      <w:pPr>
        <w:pStyle w:val="ListBullet"/>
      </w:pPr>
      <w:r>
        <w:t>K 6 Wechselrichter-Fehlerprotokoll</w:t>
      </w:r>
    </w:p>
    <w:p>
      <w:pPr>
        <w:pStyle w:val="ListBullet"/>
      </w:pPr>
      <w:r>
        <w:t>K 7 Fotodokumentation Dach und Stall</w:t>
      </w:r>
    </w:p>
    <w:p>
      <w:pPr>
        <w:pStyle w:val="ListBullet"/>
      </w:pPr>
      <w:r>
        <w:t>K 8 Arbeitszettel Lindner Bedachungen</w:t>
      </w:r>
    </w:p>
    <w:p>
      <w:pPr>
        <w:pStyle w:val="ListBullet"/>
      </w:pPr>
      <w:r>
        <w:t>K 9 E-Mail Ludwig Vilsmeier vom 28. Mai 2024</w:t>
      </w:r>
    </w:p>
    <w:p>
      <w:pPr>
        <w:pStyle w:val="ListBullet"/>
      </w:pPr>
      <w:r>
        <w:t>K 10 Stromrechnungen und Zähleraufstellung</w:t>
      </w:r>
    </w:p>
    <w:p>
      <w:pPr>
        <w:pStyle w:val="ListBullet"/>
      </w:pPr>
      <w:r>
        <w:t>K 11 Rechnungen Trocknung sowie Inventurliste Heu</w:t>
      </w:r>
    </w:p>
    <w:p>
      <w:r>
        <w:t>Dr. Miriam Knoblauch</w:t>
        <w:br/>
        <w:t>Rechtsanwältin</w:t>
        <w:br/>
        <w:t>Fachanwältin für Bau- und Architektenrecht</w:t>
      </w:r>
    </w:p>
    <w:p>
      <w:r>
        <w:t>Elektronisch übermittelt aus dem besonderen elektronischen Anwaltspostfach der Unterzeichnerin.</w:t>
      </w:r>
    </w:p>
    <w:sectPr w:rsidR="00FC693F" w:rsidRPr="0006063C" w:rsidSect="00034616">
      <w:footerReference w:type="default" r:id="rId9"/>
      <w:pgSz w:w="11906" w:h="16838"/>
      <w:pgMar w:top="1191" w:right="1191"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46464"/>
        <w:sz w:val="16"/>
      </w:rPr>
      <w:t xml:space="preserve">4 O 1287/24  |  </w:t>
    </w:r>
    <w:r>
      <w:rPr>
        <w:color w:val="646464"/>
        <w:sz w:val="16"/>
      </w:rPr>
      <w:t xml:space="preserve">Seite </w:t>
    </w:r>
    <w:r>
      <w:rPr>
        <w:color w:val="646464"/>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65F75"/>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65F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b/>
      <w:color w:val="23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