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6"/>
        </w:rPr>
        <w:t>FREISTAAT BAYERN</w:t>
      </w:r>
    </w:p>
    <w:p>
      <w:pPr>
        <w:jc w:val="center"/>
      </w:pPr>
      <w:r>
        <w:rPr>
          <w:b/>
          <w:color w:val="23364D"/>
          <w:sz w:val="30"/>
        </w:rPr>
        <w:t>LANDGERICHT REGENSBURG</w:t>
      </w:r>
    </w:p>
    <w:p>
      <w:pPr>
        <w:jc w:val="center"/>
      </w:pPr>
      <w:r>
        <w:rPr>
          <w:sz w:val="18"/>
        </w:rPr>
        <w:t>4. Zivilkammer | Augustenstraße 5 | 93049 Regensburg</w:t>
      </w:r>
    </w:p>
    <w:tbl>
      <w:tblPr>
        <w:tblW w:type="auto" w:w="0"/>
        <w:jc w:val="right"/>
        <w:tblLayout w:type="fixed"/>
        <w:tblLook w:firstColumn="1" w:firstRow="1" w:lastColumn="0" w:lastRow="0" w:noHBand="0" w:noVBand="1" w:val="04A0"/>
      </w:tblPr>
      <w:tblGrid>
        <w:gridCol w:w="4719"/>
        <w:gridCol w:w="4719"/>
      </w:tblGrid>
      <w:tr>
        <w:tc>
          <w:tcPr>
            <w:tcW w:type="dxa" w:w="2381"/>
            <w:tcMar>
              <w:top w:w="45" w:type="dxa"/>
              <w:start w:w="70" w:type="dxa"/>
              <w:bottom w:w="45" w:type="dxa"/>
              <w:end w:w="70" w:type="dxa"/>
            </w:tcMar>
          </w:tcPr>
          <w:p>
            <w:r>
              <w:rPr>
                <w:b/>
                <w:sz w:val="18"/>
              </w:rPr>
              <w:t>Aktenzeichen</w:t>
            </w:r>
          </w:p>
        </w:tc>
        <w:tc>
          <w:tcPr>
            <w:tcW w:type="dxa" w:w="6520"/>
            <w:tcMar>
              <w:top w:w="45" w:type="dxa"/>
              <w:start w:w="70" w:type="dxa"/>
              <w:bottom w:w="45" w:type="dxa"/>
              <w:end w:w="70" w:type="dxa"/>
            </w:tcMar>
          </w:tcPr>
          <w:p>
            <w:r>
              <w:rPr>
                <w:sz w:val="18"/>
              </w:rPr>
              <w:t>4 O 1287/24</w:t>
            </w:r>
          </w:p>
        </w:tc>
      </w:tr>
      <w:tr>
        <w:tc>
          <w:tcPr>
            <w:tcW w:type="dxa" w:w="2381"/>
            <w:tcMar>
              <w:top w:w="45" w:type="dxa"/>
              <w:start w:w="70" w:type="dxa"/>
              <w:bottom w:w="45" w:type="dxa"/>
              <w:end w:w="70" w:type="dxa"/>
            </w:tcMar>
          </w:tcPr>
          <w:p>
            <w:r>
              <w:rPr>
                <w:b/>
                <w:sz w:val="18"/>
              </w:rPr>
              <w:t>Geschäftsstelle</w:t>
            </w:r>
          </w:p>
        </w:tc>
        <w:tc>
          <w:tcPr>
            <w:tcW w:type="dxa" w:w="6520"/>
            <w:tcMar>
              <w:top w:w="45" w:type="dxa"/>
              <w:start w:w="70" w:type="dxa"/>
              <w:bottom w:w="45" w:type="dxa"/>
              <w:end w:w="70" w:type="dxa"/>
            </w:tcMar>
          </w:tcPr>
          <w:p>
            <w:r>
              <w:rPr>
                <w:sz w:val="18"/>
              </w:rPr>
              <w:t>Frau Rechtspflegerin Anna Vogelsang, Durchwahl 0941 2003-214</w:t>
            </w:r>
          </w:p>
        </w:tc>
      </w:tr>
      <w:tr>
        <w:tc>
          <w:tcPr>
            <w:tcW w:type="dxa" w:w="2381"/>
            <w:tcMar>
              <w:top w:w="45" w:type="dxa"/>
              <w:start w:w="70" w:type="dxa"/>
              <w:bottom w:w="45" w:type="dxa"/>
              <w:end w:w="70" w:type="dxa"/>
            </w:tcMar>
          </w:tcPr>
          <w:p>
            <w:r>
              <w:rPr>
                <w:b/>
                <w:sz w:val="18"/>
              </w:rPr>
              <w:t>Datum</w:t>
            </w:r>
          </w:p>
        </w:tc>
        <w:tc>
          <w:tcPr>
            <w:tcW w:type="dxa" w:w="6520"/>
            <w:tcMar>
              <w:top w:w="45" w:type="dxa"/>
              <w:start w:w="70" w:type="dxa"/>
              <w:bottom w:w="45" w:type="dxa"/>
              <w:end w:w="70" w:type="dxa"/>
            </w:tcMar>
          </w:tcPr>
          <w:p>
            <w:r>
              <w:rPr>
                <w:sz w:val="18"/>
              </w:rPr>
              <w:t>15. Januar 2025</w:t>
            </w:r>
          </w:p>
        </w:tc>
      </w:tr>
    </w:tbl>
    <w:p/>
    <w:p>
      <w:r>
        <w:t>In dem Rechtsstreit</w:t>
        <w:br/>
        <w:t>Hartmut Sieglinger gegen Burgwald Energietechnik GmbH</w:t>
      </w:r>
    </w:p>
    <w:p>
      <w:pPr>
        <w:pStyle w:val="Heading1"/>
      </w:pPr>
      <w:r>
        <w:t>Beweisbeschluss</w:t>
      </w:r>
    </w:p>
    <w:p>
      <w:r>
        <w:t>Die Kammer hat am 15. Januar 2025 durch den Vorsitzenden Richter am Landgericht Dr. Fellner, die Richterin am Landgericht Schuster und den Richter Dr. Behrendt beschlossen:</w:t>
      </w:r>
    </w:p>
    <w:p>
      <w:pPr>
        <w:pStyle w:val="ListNumber"/>
      </w:pPr>
      <w:r>
        <w:t>Es soll Beweis erhoben werden über die Behauptung des Klägers, die Photovoltaikanlage weise eine technisch nicht durch Verschattung oder Witterung erklärbare Mindererzeugung auf, durch schriftliches Gutachten eines Sachverständigen.</w:t>
      </w:r>
    </w:p>
    <w:p>
      <w:pPr>
        <w:pStyle w:val="ListNumber"/>
      </w:pPr>
      <w:r>
        <w:t>Der Sachverständige soll feststellen, ob 188 Module zu je 450 Watt installiert sind, die Ertragsdaten für 2023 und 2024 witterungs- und verschattungsbereinigt bewerten und angeben, ob eine etwaige Mindererzeugung auf Planungs-, Montage- oder Gerätefehler zurückzuführen ist.</w:t>
      </w:r>
    </w:p>
    <w:p>
      <w:pPr>
        <w:pStyle w:val="ListNumber"/>
      </w:pPr>
      <w:r>
        <w:t>Der Sachverständige soll die drei Wechselrichter Solartec-Bavaria SB-25, deren Konfiguration und die protokollierten Fehlercodes untersuchen. Er soll darlegen, ob ein Montage- oder Gerätefehler vorliegt und welche Maßnahmen gegebenenfalls erforderlich sind.</w:t>
      </w:r>
    </w:p>
    <w:p>
      <w:pPr>
        <w:pStyle w:val="ListNumber"/>
      </w:pPr>
      <w:r>
        <w:t>Der Sachverständige soll die Dachanschlüsse und Modulhalter untersuchen. Er soll bewerten, ob die Ausführung den anerkannten Regeln der Technik entspricht, ob die dokumentierten Feuchtespuren hierdurch verursacht worden sein können und welche Kosten eine technisch erforderliche Beseitigung auslöst.</w:t>
      </w:r>
    </w:p>
    <w:p>
      <w:pPr>
        <w:pStyle w:val="ListNumber"/>
      </w:pPr>
      <w:r>
        <w:t>Zum Sachverständigen wird Dipl.-Ing. Edmund Pfaffenberger, Hauptstraße 142, 92637 Weiden, bestellt.</w:t>
      </w:r>
    </w:p>
    <w:p>
      <w:r>
        <w:t>Der Sachverständige wird gebeten, unverzüglich mitzuteilen, ob Gründe gegen die Übernahme sprechen, ob weitere Unterlagen benötigt werden und ob die voraussichtlichen Kosten den Vorschuss von 9000 Euro wesentlich übersteigen. Der Auftrag ist persönlich zu erledigen. Werden Hilfskräfte eingesetzt, sind deren Namen und Tätigkeiten anzugeben.</w:t>
      </w:r>
    </w:p>
    <w:p>
      <w:r>
        <w:t>Das schriftliche Gutachten soll bis zum 30. Juni 2025 bei Gericht eingehen. Der Sachverständige darf einen Ortstermin erst nach Abstimmung mit den Parteien durchführen. Beide Prozessbevollmächtigten erhalten Gelegenheit zur Teilnahme.</w:t>
      </w:r>
    </w:p>
    <w:p>
      <w:r>
        <w:t>Dr. Fellner</w:t>
        <w:br/>
        <w:t>Vorsitzender Richter am Landgericht</w:t>
      </w:r>
    </w:p>
    <w:p>
      <w:r>
        <w:t>Für die Richtigkeit der Abschrift</w:t>
        <w:br/>
        <w:t>Anna Vogelsang, Justizbeschäftigte</w:t>
        <w:br/>
        <w:t>Maschinell beglaubigt, ohne Unterschrift gültig</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