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30"/>
        </w:rPr>
        <w:t>WALLNER &amp; PARTNER</w:t>
      </w:r>
    </w:p>
    <w:p>
      <w:pPr>
        <w:jc w:val="center"/>
      </w:pPr>
      <w:r>
        <w:t>Sachverständigenbüro für Elektrotechnik und Photovoltaik</w:t>
        <w:br/>
        <w:t>Burgstraße 12 | 93047 Regensburg | Telefon 0941 70291-0 | post@wallner-sv.de</w:t>
      </w:r>
    </w:p>
    <w:p>
      <w:r>
        <w:t>An</w:t>
        <w:br/>
        <w:t>Knoblauch | Sperling | Krohnstetter</w:t>
        <w:br/>
        <w:t>Frau Rechtsanwältin Dr. Miriam Knoblauch</w:t>
        <w:br/>
        <w:t>Theresienstraße 19</w:t>
        <w:br/>
        <w:t>93047 Regensburg</w:t>
      </w:r>
    </w:p>
    <w:p>
      <w:r>
        <w:t>Angebotsnummer: W-2026-017 | Ihr Zeichen: SKS/246-24 HSi | 26. Januar 2026</w:t>
      </w:r>
    </w:p>
    <w:p>
      <w:pPr>
        <w:pStyle w:val="Heading1"/>
      </w:pPr>
      <w:r>
        <w:t>Ergänzende technische Untersuchung der Photovoltaikanlage Sieglinger</w:t>
      </w:r>
    </w:p>
    <w:p>
      <w:r>
        <w:t>Sehr geehrte Frau Dr. Knoblauch,</w:t>
      </w:r>
    </w:p>
    <w:p>
      <w:r>
        <w:t>auf Grundlage unseres Telefonats vom 23. Januar 2026 bieten wir eine ergänzende Untersuchung der Anlage am Hof Sonneberg 14 an. Ziel ist die Erhebung bislang nicht vorliegender Mess- und Öffnungsbefunde. Eine rechtliche Bewertung oder Erfolgseinschätzung ist nicht Gegenstand des Auftrags.</w:t>
      </w:r>
    </w:p>
    <w:tbl>
      <w:tblPr>
        <w:tblStyle w:val="TableGrid"/>
        <w:tblW w:type="auto" w:w="0"/>
        <w:jc w:val="center"/>
        <w:tblLayout w:type="fixed"/>
        <w:tblLook w:firstColumn="1" w:firstRow="1" w:lastColumn="0" w:lastRow="0" w:noHBand="0" w:noVBand="1" w:val="04A0"/>
      </w:tblPr>
      <w:tblGrid>
        <w:gridCol w:w="3146"/>
        <w:gridCol w:w="3146"/>
        <w:gridCol w:w="3146"/>
      </w:tblGrid>
      <w:tr>
        <w:trPr>
          <w:tblHeader w:val="true"/>
          <w:cantSplit/>
        </w:trPr>
        <w:tc>
          <w:tcPr>
            <w:tcW w:type="dxa" w:w="4139"/>
            <w:shd w:fill="D9E4EA"/>
            <w:vAlign w:val="center"/>
            <w:tcMar>
              <w:top w:w="90" w:type="dxa"/>
              <w:start w:w="110" w:type="dxa"/>
              <w:bottom w:w="90" w:type="dxa"/>
              <w:end w:w="110" w:type="dxa"/>
            </w:tcMar>
          </w:tcPr>
          <w:p>
            <w:r>
              <w:rPr>
                <w:b/>
                <w:sz w:val="17"/>
              </w:rPr>
              <w:t>Leistung</w:t>
            </w:r>
          </w:p>
        </w:tc>
        <w:tc>
          <w:tcPr>
            <w:tcW w:type="dxa" w:w="2891"/>
            <w:shd w:fill="D9E4EA"/>
            <w:vAlign w:val="center"/>
            <w:tcMar>
              <w:top w:w="90" w:type="dxa"/>
              <w:start w:w="110" w:type="dxa"/>
              <w:bottom w:w="90" w:type="dxa"/>
              <w:end w:w="110" w:type="dxa"/>
            </w:tcMar>
          </w:tcPr>
          <w:p>
            <w:r>
              <w:rPr>
                <w:b/>
                <w:sz w:val="17"/>
              </w:rPr>
              <w:t>Ansatz</w:t>
            </w:r>
          </w:p>
        </w:tc>
        <w:tc>
          <w:tcPr>
            <w:tcW w:type="dxa" w:w="1984"/>
            <w:shd w:fill="D9E4EA"/>
            <w:vAlign w:val="center"/>
            <w:tcMar>
              <w:top w:w="90" w:type="dxa"/>
              <w:start w:w="110" w:type="dxa"/>
              <w:bottom w:w="90" w:type="dxa"/>
              <w:end w:w="110" w:type="dxa"/>
            </w:tcMar>
          </w:tcPr>
          <w:p>
            <w:r>
              <w:rPr>
                <w:b/>
                <w:sz w:val="17"/>
              </w:rPr>
              <w:t>Netto</w:t>
            </w:r>
          </w:p>
        </w:tc>
      </w:tr>
      <w:tr>
        <w:trPr>
          <w:cantSplit/>
        </w:trPr>
        <w:tc>
          <w:tcPr>
            <w:tcW w:type="dxa" w:w="4139"/>
            <w:vAlign w:val="center"/>
            <w:tcMar>
              <w:top w:w="90" w:type="dxa"/>
              <w:start w:w="110" w:type="dxa"/>
              <w:bottom w:w="90" w:type="dxa"/>
              <w:end w:w="110" w:type="dxa"/>
            </w:tcMar>
          </w:tcPr>
          <w:p>
            <w:r>
              <w:rPr>
                <w:sz w:val="17"/>
              </w:rPr>
              <w:t>Akten- und Datensichtung</w:t>
            </w:r>
          </w:p>
        </w:tc>
        <w:tc>
          <w:tcPr>
            <w:tcW w:type="dxa" w:w="2891"/>
            <w:vAlign w:val="center"/>
            <w:tcMar>
              <w:top w:w="90" w:type="dxa"/>
              <w:start w:w="110" w:type="dxa"/>
              <w:bottom w:w="90" w:type="dxa"/>
              <w:end w:w="110" w:type="dxa"/>
            </w:tcMar>
          </w:tcPr>
          <w:p>
            <w:r>
              <w:rPr>
                <w:sz w:val="17"/>
              </w:rPr>
              <w:t>8 Stunden zu 165 Euro</w:t>
            </w:r>
          </w:p>
        </w:tc>
        <w:tc>
          <w:tcPr>
            <w:tcW w:type="dxa" w:w="1984"/>
            <w:vAlign w:val="center"/>
            <w:tcMar>
              <w:top w:w="90" w:type="dxa"/>
              <w:start w:w="110" w:type="dxa"/>
              <w:bottom w:w="90" w:type="dxa"/>
              <w:end w:w="110" w:type="dxa"/>
            </w:tcMar>
          </w:tcPr>
          <w:p>
            <w:r>
              <w:rPr>
                <w:sz w:val="17"/>
              </w:rPr>
              <w:t>1320 Euro</w:t>
            </w:r>
          </w:p>
        </w:tc>
      </w:tr>
      <w:tr>
        <w:trPr>
          <w:cantSplit/>
        </w:trPr>
        <w:tc>
          <w:tcPr>
            <w:tcW w:type="dxa" w:w="4139"/>
            <w:vAlign w:val="center"/>
            <w:tcMar>
              <w:top w:w="90" w:type="dxa"/>
              <w:start w:w="110" w:type="dxa"/>
              <w:bottom w:w="90" w:type="dxa"/>
              <w:end w:w="110" w:type="dxa"/>
            </w:tcMar>
          </w:tcPr>
          <w:p>
            <w:r>
              <w:rPr>
                <w:sz w:val="17"/>
              </w:rPr>
              <w:t>Ortstermin mit Strangmessung</w:t>
            </w:r>
          </w:p>
        </w:tc>
        <w:tc>
          <w:tcPr>
            <w:tcW w:type="dxa" w:w="2891"/>
            <w:vAlign w:val="center"/>
            <w:tcMar>
              <w:top w:w="90" w:type="dxa"/>
              <w:start w:w="110" w:type="dxa"/>
              <w:bottom w:w="90" w:type="dxa"/>
              <w:end w:w="110" w:type="dxa"/>
            </w:tcMar>
          </w:tcPr>
          <w:p>
            <w:r>
              <w:rPr>
                <w:sz w:val="17"/>
              </w:rPr>
              <w:t>2 Sachverständige, 10 Stunden</w:t>
            </w:r>
          </w:p>
        </w:tc>
        <w:tc>
          <w:tcPr>
            <w:tcW w:type="dxa" w:w="1984"/>
            <w:vAlign w:val="center"/>
            <w:tcMar>
              <w:top w:w="90" w:type="dxa"/>
              <w:start w:w="110" w:type="dxa"/>
              <w:bottom w:w="90" w:type="dxa"/>
              <w:end w:w="110" w:type="dxa"/>
            </w:tcMar>
          </w:tcPr>
          <w:p>
            <w:r>
              <w:rPr>
                <w:sz w:val="17"/>
              </w:rPr>
              <w:t>3300 Euro</w:t>
            </w:r>
          </w:p>
        </w:tc>
      </w:tr>
      <w:tr>
        <w:trPr>
          <w:cantSplit/>
        </w:trPr>
        <w:tc>
          <w:tcPr>
            <w:tcW w:type="dxa" w:w="4139"/>
            <w:vAlign w:val="center"/>
            <w:tcMar>
              <w:top w:w="90" w:type="dxa"/>
              <w:start w:w="110" w:type="dxa"/>
              <w:bottom w:w="90" w:type="dxa"/>
              <w:end w:w="110" w:type="dxa"/>
            </w:tcMar>
          </w:tcPr>
          <w:p>
            <w:r>
              <w:rPr>
                <w:sz w:val="17"/>
              </w:rPr>
              <w:t>Öffnung von 2 Wechselrichtern</w:t>
            </w:r>
          </w:p>
        </w:tc>
        <w:tc>
          <w:tcPr>
            <w:tcW w:type="dxa" w:w="2891"/>
            <w:vAlign w:val="center"/>
            <w:tcMar>
              <w:top w:w="90" w:type="dxa"/>
              <w:start w:w="110" w:type="dxa"/>
              <w:bottom w:w="90" w:type="dxa"/>
              <w:end w:w="110" w:type="dxa"/>
            </w:tcMar>
          </w:tcPr>
          <w:p>
            <w:r>
              <w:rPr>
                <w:sz w:val="17"/>
              </w:rPr>
              <w:t>Elektrofachbetrieb pauschal</w:t>
            </w:r>
          </w:p>
        </w:tc>
        <w:tc>
          <w:tcPr>
            <w:tcW w:type="dxa" w:w="1984"/>
            <w:vAlign w:val="center"/>
            <w:tcMar>
              <w:top w:w="90" w:type="dxa"/>
              <w:start w:w="110" w:type="dxa"/>
              <w:bottom w:w="90" w:type="dxa"/>
              <w:end w:w="110" w:type="dxa"/>
            </w:tcMar>
          </w:tcPr>
          <w:p>
            <w:r>
              <w:rPr>
                <w:sz w:val="17"/>
              </w:rPr>
              <w:t>1450 Euro</w:t>
            </w:r>
          </w:p>
        </w:tc>
      </w:tr>
      <w:tr>
        <w:trPr>
          <w:cantSplit/>
        </w:trPr>
        <w:tc>
          <w:tcPr>
            <w:tcW w:type="dxa" w:w="4139"/>
            <w:vAlign w:val="center"/>
            <w:tcMar>
              <w:top w:w="90" w:type="dxa"/>
              <w:start w:w="110" w:type="dxa"/>
              <w:bottom w:w="90" w:type="dxa"/>
              <w:end w:w="110" w:type="dxa"/>
            </w:tcMar>
          </w:tcPr>
          <w:p>
            <w:r>
              <w:rPr>
                <w:sz w:val="17"/>
              </w:rPr>
              <w:t>Öffnung von 3 Dachanschlüssen</w:t>
            </w:r>
          </w:p>
        </w:tc>
        <w:tc>
          <w:tcPr>
            <w:tcW w:type="dxa" w:w="2891"/>
            <w:vAlign w:val="center"/>
            <w:tcMar>
              <w:top w:w="90" w:type="dxa"/>
              <w:start w:w="110" w:type="dxa"/>
              <w:bottom w:w="90" w:type="dxa"/>
              <w:end w:w="110" w:type="dxa"/>
            </w:tcMar>
          </w:tcPr>
          <w:p>
            <w:r>
              <w:rPr>
                <w:sz w:val="17"/>
              </w:rPr>
              <w:t>Dachdecker und Sicherung</w:t>
            </w:r>
          </w:p>
        </w:tc>
        <w:tc>
          <w:tcPr>
            <w:tcW w:type="dxa" w:w="1984"/>
            <w:vAlign w:val="center"/>
            <w:tcMar>
              <w:top w:w="90" w:type="dxa"/>
              <w:start w:w="110" w:type="dxa"/>
              <w:bottom w:w="90" w:type="dxa"/>
              <w:end w:w="110" w:type="dxa"/>
            </w:tcMar>
          </w:tcPr>
          <w:p>
            <w:r>
              <w:rPr>
                <w:sz w:val="17"/>
              </w:rPr>
              <w:t>2380 Euro</w:t>
            </w:r>
          </w:p>
        </w:tc>
      </w:tr>
      <w:tr>
        <w:trPr>
          <w:cantSplit/>
        </w:trPr>
        <w:tc>
          <w:tcPr>
            <w:tcW w:type="dxa" w:w="4139"/>
            <w:vAlign w:val="center"/>
            <w:tcMar>
              <w:top w:w="90" w:type="dxa"/>
              <w:start w:w="110" w:type="dxa"/>
              <w:bottom w:w="90" w:type="dxa"/>
              <w:end w:w="110" w:type="dxa"/>
            </w:tcMar>
          </w:tcPr>
          <w:p>
            <w:r>
              <w:rPr>
                <w:sz w:val="17"/>
              </w:rPr>
              <w:t>Mess- und Fotodokumentation</w:t>
            </w:r>
          </w:p>
        </w:tc>
        <w:tc>
          <w:tcPr>
            <w:tcW w:type="dxa" w:w="2891"/>
            <w:vAlign w:val="center"/>
            <w:tcMar>
              <w:top w:w="90" w:type="dxa"/>
              <w:start w:w="110" w:type="dxa"/>
              <w:bottom w:w="90" w:type="dxa"/>
              <w:end w:w="110" w:type="dxa"/>
            </w:tcMar>
          </w:tcPr>
          <w:p>
            <w:r>
              <w:rPr>
                <w:sz w:val="17"/>
              </w:rPr>
              <w:t>6 Stunden zu 165 Euro</w:t>
            </w:r>
          </w:p>
        </w:tc>
        <w:tc>
          <w:tcPr>
            <w:tcW w:type="dxa" w:w="1984"/>
            <w:vAlign w:val="center"/>
            <w:tcMar>
              <w:top w:w="90" w:type="dxa"/>
              <w:start w:w="110" w:type="dxa"/>
              <w:bottom w:w="90" w:type="dxa"/>
              <w:end w:w="110" w:type="dxa"/>
            </w:tcMar>
          </w:tcPr>
          <w:p>
            <w:r>
              <w:rPr>
                <w:sz w:val="17"/>
              </w:rPr>
              <w:t>990 Euro</w:t>
            </w:r>
          </w:p>
        </w:tc>
      </w:tr>
      <w:tr>
        <w:trPr>
          <w:cantSplit/>
        </w:trPr>
        <w:tc>
          <w:tcPr>
            <w:tcW w:type="dxa" w:w="4139"/>
            <w:vAlign w:val="center"/>
            <w:tcMar>
              <w:top w:w="90" w:type="dxa"/>
              <w:start w:w="110" w:type="dxa"/>
              <w:bottom w:w="90" w:type="dxa"/>
              <w:end w:w="110" w:type="dxa"/>
            </w:tcMar>
          </w:tcPr>
          <w:p>
            <w:r>
              <w:rPr>
                <w:sz w:val="17"/>
              </w:rPr>
              <w:t>Schriftliche Ausarbeitung</w:t>
            </w:r>
          </w:p>
        </w:tc>
        <w:tc>
          <w:tcPr>
            <w:tcW w:type="dxa" w:w="2891"/>
            <w:vAlign w:val="center"/>
            <w:tcMar>
              <w:top w:w="90" w:type="dxa"/>
              <w:start w:w="110" w:type="dxa"/>
              <w:bottom w:w="90" w:type="dxa"/>
              <w:end w:w="110" w:type="dxa"/>
            </w:tcMar>
          </w:tcPr>
          <w:p>
            <w:r>
              <w:rPr>
                <w:sz w:val="17"/>
              </w:rPr>
              <w:t>14 Stunden zu 165 Euro</w:t>
            </w:r>
          </w:p>
        </w:tc>
        <w:tc>
          <w:tcPr>
            <w:tcW w:type="dxa" w:w="1984"/>
            <w:vAlign w:val="center"/>
            <w:tcMar>
              <w:top w:w="90" w:type="dxa"/>
              <w:start w:w="110" w:type="dxa"/>
              <w:bottom w:w="90" w:type="dxa"/>
              <w:end w:w="110" w:type="dxa"/>
            </w:tcMar>
          </w:tcPr>
          <w:p>
            <w:r>
              <w:rPr>
                <w:sz w:val="17"/>
              </w:rPr>
              <w:t>2310 Euro</w:t>
            </w:r>
          </w:p>
        </w:tc>
      </w:tr>
      <w:tr>
        <w:trPr>
          <w:cantSplit/>
        </w:trPr>
        <w:tc>
          <w:tcPr>
            <w:tcW w:type="dxa" w:w="4139"/>
            <w:vAlign w:val="center"/>
            <w:tcMar>
              <w:top w:w="90" w:type="dxa"/>
              <w:start w:w="110" w:type="dxa"/>
              <w:bottom w:w="90" w:type="dxa"/>
              <w:end w:w="110" w:type="dxa"/>
            </w:tcMar>
          </w:tcPr>
          <w:p>
            <w:r>
              <w:rPr>
                <w:sz w:val="17"/>
              </w:rPr>
              <w:t>Fahrt- und Nebenkosten</w:t>
            </w:r>
          </w:p>
        </w:tc>
        <w:tc>
          <w:tcPr>
            <w:tcW w:type="dxa" w:w="2891"/>
            <w:vAlign w:val="center"/>
            <w:tcMar>
              <w:top w:w="90" w:type="dxa"/>
              <w:start w:w="110" w:type="dxa"/>
              <w:bottom w:w="90" w:type="dxa"/>
              <w:end w:w="110" w:type="dxa"/>
            </w:tcMar>
          </w:tcPr>
          <w:p>
            <w:r>
              <w:rPr>
                <w:sz w:val="17"/>
              </w:rPr>
              <w:t>pauschal</w:t>
            </w:r>
          </w:p>
        </w:tc>
        <w:tc>
          <w:tcPr>
            <w:tcW w:type="dxa" w:w="1984"/>
            <w:vAlign w:val="center"/>
            <w:tcMar>
              <w:top w:w="90" w:type="dxa"/>
              <w:start w:w="110" w:type="dxa"/>
              <w:bottom w:w="90" w:type="dxa"/>
              <w:end w:w="110" w:type="dxa"/>
            </w:tcMar>
          </w:tcPr>
          <w:p>
            <w:r>
              <w:rPr>
                <w:sz w:val="17"/>
              </w:rPr>
              <w:t>430 Euro</w:t>
            </w:r>
          </w:p>
        </w:tc>
      </w:tr>
      <w:tr>
        <w:trPr>
          <w:cantSplit/>
        </w:trPr>
        <w:tc>
          <w:tcPr>
            <w:tcW w:type="dxa" w:w="4139"/>
            <w:vAlign w:val="center"/>
            <w:tcMar>
              <w:top w:w="90" w:type="dxa"/>
              <w:start w:w="110" w:type="dxa"/>
              <w:bottom w:w="90" w:type="dxa"/>
              <w:end w:w="110" w:type="dxa"/>
            </w:tcMar>
          </w:tcPr>
          <w:p>
            <w:r>
              <w:rPr>
                <w:sz w:val="17"/>
              </w:rPr>
              <w:t>Gesamt netto</w:t>
            </w:r>
          </w:p>
        </w:tc>
        <w:tc>
          <w:tcPr>
            <w:tcW w:type="dxa" w:w="2891"/>
            <w:vAlign w:val="center"/>
            <w:tcMar>
              <w:top w:w="90" w:type="dxa"/>
              <w:start w:w="110" w:type="dxa"/>
              <w:bottom w:w="90" w:type="dxa"/>
              <w:end w:w="110" w:type="dxa"/>
            </w:tcMar>
          </w:tcPr>
          <w:p>
            <w:r>
              <w:rPr>
                <w:sz w:val="17"/>
              </w:rPr>
            </w:r>
          </w:p>
        </w:tc>
        <w:tc>
          <w:tcPr>
            <w:tcW w:type="dxa" w:w="1984"/>
            <w:vAlign w:val="center"/>
            <w:tcMar>
              <w:top w:w="90" w:type="dxa"/>
              <w:start w:w="110" w:type="dxa"/>
              <w:bottom w:w="90" w:type="dxa"/>
              <w:end w:w="110" w:type="dxa"/>
            </w:tcMar>
          </w:tcPr>
          <w:p>
            <w:r>
              <w:rPr>
                <w:sz w:val="17"/>
              </w:rPr>
              <w:t>12180 Euro</w:t>
            </w:r>
          </w:p>
        </w:tc>
      </w:tr>
      <w:tr>
        <w:trPr>
          <w:cantSplit/>
        </w:trPr>
        <w:tc>
          <w:tcPr>
            <w:tcW w:type="dxa" w:w="4139"/>
            <w:vAlign w:val="center"/>
            <w:tcMar>
              <w:top w:w="90" w:type="dxa"/>
              <w:start w:w="110" w:type="dxa"/>
              <w:bottom w:w="90" w:type="dxa"/>
              <w:end w:w="110" w:type="dxa"/>
            </w:tcMar>
          </w:tcPr>
          <w:p>
            <w:r>
              <w:rPr>
                <w:sz w:val="17"/>
              </w:rPr>
              <w:t>Umsatzsteuer 19 Prozent</w:t>
            </w:r>
          </w:p>
        </w:tc>
        <w:tc>
          <w:tcPr>
            <w:tcW w:type="dxa" w:w="2891"/>
            <w:vAlign w:val="center"/>
            <w:tcMar>
              <w:top w:w="90" w:type="dxa"/>
              <w:start w:w="110" w:type="dxa"/>
              <w:bottom w:w="90" w:type="dxa"/>
              <w:end w:w="110" w:type="dxa"/>
            </w:tcMar>
          </w:tcPr>
          <w:p>
            <w:r>
              <w:rPr>
                <w:sz w:val="17"/>
              </w:rPr>
            </w:r>
          </w:p>
        </w:tc>
        <w:tc>
          <w:tcPr>
            <w:tcW w:type="dxa" w:w="1984"/>
            <w:vAlign w:val="center"/>
            <w:tcMar>
              <w:top w:w="90" w:type="dxa"/>
              <w:start w:w="110" w:type="dxa"/>
              <w:bottom w:w="90" w:type="dxa"/>
              <w:end w:w="110" w:type="dxa"/>
            </w:tcMar>
          </w:tcPr>
          <w:p>
            <w:r>
              <w:rPr>
                <w:sz w:val="17"/>
              </w:rPr>
              <w:t>2314,20 Euro</w:t>
            </w:r>
          </w:p>
        </w:tc>
      </w:tr>
      <w:tr>
        <w:trPr>
          <w:cantSplit/>
        </w:trPr>
        <w:tc>
          <w:tcPr>
            <w:tcW w:type="dxa" w:w="4139"/>
            <w:vAlign w:val="center"/>
            <w:tcMar>
              <w:top w:w="90" w:type="dxa"/>
              <w:start w:w="110" w:type="dxa"/>
              <w:bottom w:w="90" w:type="dxa"/>
              <w:end w:w="110" w:type="dxa"/>
            </w:tcMar>
          </w:tcPr>
          <w:p>
            <w:r>
              <w:rPr>
                <w:sz w:val="17"/>
              </w:rPr>
              <w:t>Gesamt brutto</w:t>
            </w:r>
          </w:p>
        </w:tc>
        <w:tc>
          <w:tcPr>
            <w:tcW w:type="dxa" w:w="2891"/>
            <w:vAlign w:val="center"/>
            <w:tcMar>
              <w:top w:w="90" w:type="dxa"/>
              <w:start w:w="110" w:type="dxa"/>
              <w:bottom w:w="90" w:type="dxa"/>
              <w:end w:w="110" w:type="dxa"/>
            </w:tcMar>
          </w:tcPr>
          <w:p>
            <w:r>
              <w:rPr>
                <w:sz w:val="17"/>
              </w:rPr>
            </w:r>
          </w:p>
        </w:tc>
        <w:tc>
          <w:tcPr>
            <w:tcW w:type="dxa" w:w="1984"/>
            <w:vAlign w:val="center"/>
            <w:tcMar>
              <w:top w:w="90" w:type="dxa"/>
              <w:start w:w="110" w:type="dxa"/>
              <w:bottom w:w="90" w:type="dxa"/>
              <w:end w:w="110" w:type="dxa"/>
            </w:tcMar>
          </w:tcPr>
          <w:p>
            <w:r>
              <w:rPr>
                <w:sz w:val="17"/>
              </w:rPr>
              <w:t>14494,20 Euro</w:t>
            </w:r>
          </w:p>
        </w:tc>
      </w:tr>
    </w:tbl>
    <w:p/>
    <w:p>
      <w:r>
        <w:t>Voraussetzungen sind eine schriftliche Zutritts- und Öffnungsfreigabe, die Abschaltung der Anlage für bis zu vier Stunden und die Anwesenheit eines Vertreters beider Parteien, sofern dies gewünscht wird. Der Ortstermin kann frühestens am 18. Februar 2026 stattfinden. Die schriftliche Ausarbeitung erfolgt binnen drei Wochen nach vollständigem Eingang der Hersteller-Rohdaten.</w:t>
      </w:r>
    </w:p>
    <w:p>
      <w:r>
        <w:t>Das Angebot gilt bis 12. Februar 2026. Bei Auftragserteilung sind 50 Prozent des Bruttobetrags als Vorschuss fällig. Nicht verbrauchte Fremdkosten werden nach Abschluss abgerechnet.</w:t>
      </w:r>
    </w:p>
    <w:p>
      <w:r>
        <w:t>Mit freundlichen Grüßen</w:t>
      </w:r>
    </w:p>
    <w:p>
      <w:r>
        <w:t>Dipl.-Ing. Anette Wallner</w:t>
        <w:br/>
        <w:t>Öffentlich bestellte und vereidigte Sachverständige</w:t>
      </w:r>
    </w:p>
    <w:sectPr w:rsidR="00FC693F" w:rsidRPr="0006063C" w:rsidSect="00034616">
      <w:footerReference w:type="default" r:id="rId9"/>
      <w:pgSz w:w="11906" w:h="16838"/>
      <w:pgMar w:top="765" w:right="1191" w:bottom="76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 xml:space="preserve">4 O 1287/24  |  </w:t>
    </w:r>
    <w:r>
      <w:rPr>
        <w:color w:val="646464"/>
        <w:sz w:val="16"/>
      </w:rPr>
      <w:t xml:space="preserve">Seite </w:t>
    </w: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