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STEUERKANZLEI HEIDE &amp; BRINKMANN · Podbielskistraße 188, 30177 Hannover</w:t>
      </w:r>
    </w:p>
    <w:p>
      <w:pPr>
        <w:spacing w:after="280"/>
      </w:pPr>
      <w:r>
        <w:t>Herrn Franz Trüffelberch</w:t>
        <w:br/>
        <w:t>Holzwerkstätten Trüffelberch e.K.</w:t>
        <w:br/>
        <w:t>Kugelfangtrift 24</w:t>
        <w:br/>
        <w:t>30657 Hannover</w:t>
      </w:r>
    </w:p>
    <w:p>
      <w:pPr>
        <w:spacing w:after="180"/>
        <w:jc w:val="right"/>
      </w:pPr>
      <w:r>
        <w:t>Hannover, 22. September 2025</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HB/FT-2025-118</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Betriebswirtschaftliche Auswertung Januar bis August 2025</w:t>
            </w:r>
          </w:p>
        </w:tc>
      </w:tr>
    </w:tbl>
    <w:p/>
    <w:p>
      <w:r>
        <w:t>Sehr geehrter Herr Trüffelberch,</w:t>
      </w:r>
    </w:p>
    <w:p>
      <w:pPr>
        <w:keepLines w:val="0"/>
      </w:pPr>
      <w:r>
        <w:t>die vorläufige Auswertung weist Umsatzerlöse von 618440,28 Euro und einen vorläufigen betriebswirtschaftlichen Gewinn von 116804,71 Euro aus. Noch nicht enthalten sind die Schlussrechnung für das Projekt Rathaus Bothfeld, die Inventurdifferenzen im Holzlager und die Reparaturrechnung für die CNC-Fräse vom 29. August.</w:t>
      </w:r>
    </w:p>
    <w:p>
      <w:pPr>
        <w:keepLines w:val="0"/>
      </w:pPr>
      <w:r>
        <w:t>Vom Geschäftskonto wurden monatlich 3100,00 Euro als Privatentnahme gebucht. Daneben stehen Überweisungen von insgesamt 12840,00 Euro auf das Gemeinschaftskonto der Eheleute und Zahlungen für die private Krankenversicherung von monatlich 842,16 Euro. Die Leasingrate des Transporters beträgt 1184,00 Euro; nach Fahrtenbuch entfallen bis August 18 Prozent der Nutzung auf Privatfahrten.</w:t>
      </w:r>
    </w:p>
    <w:p>
      <w:pPr>
        <w:keepLines w:val="0"/>
      </w:pPr>
      <w:r>
        <w:t>Die Offene-Posten-Liste enthält Kundenforderungen von 88410,00 Euro, davon 27600,00 Euro älter als 60 Tage. Lieferantenverbindlichkeiten betragen 63788,42 Euro. Für die Einkommensteuer 2024 ist nach derzeitigem Stand eine Nachzahlung möglich; der Bescheid liegt noch nicht vor.</w:t>
      </w:r>
    </w:p>
    <w:p>
      <w:r>
        <w:t>Mit freundlichen Grüßen</w:t>
      </w:r>
    </w:p>
    <w:p>
      <w:pPr>
        <w:spacing w:before="280"/>
      </w:pPr>
      <w:r>
        <w:t>Jörg Brinkmann</w:t>
        <w:br/>
        <w:t>Steuerberater</w:t>
      </w:r>
    </w:p>
    <w:p>
      <w:pPr>
        <w:spacing w:before="240"/>
      </w:pPr>
      <w:r>
        <w:rPr>
          <w:b/>
        </w:rPr>
        <w:t>Anlagen</w:t>
      </w:r>
    </w:p>
    <w:p>
      <w:pPr>
        <w:pStyle w:val="ListNumber"/>
        <w:spacing w:after="40"/>
      </w:pPr>
      <w:r>
        <w:t>BWA Januar bis August 2025</w:t>
      </w:r>
    </w:p>
    <w:p>
      <w:pPr>
        <w:pStyle w:val="ListNumber"/>
        <w:spacing w:after="40"/>
      </w:pPr>
      <w:r>
        <w:t>Summen- und Saldenliste</w:t>
      </w:r>
    </w:p>
    <w:p>
      <w:pPr>
        <w:pStyle w:val="ListNumber"/>
        <w:spacing w:after="40"/>
      </w:pPr>
      <w:r>
        <w:t>Offene-Posten-Liste</w:t>
      </w:r>
    </w:p>
    <w:p>
      <w:pPr>
        <w:pStyle w:val="ListNumber"/>
        <w:spacing w:after="40"/>
      </w:pPr>
      <w:r>
        <w:t>Auszug Privatkonten</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STEUERKANZLEI HEIDE &amp; BRINKMANN · Vorgang HB/FT-2025-118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STEUERKANZLEI HEIDE &amp; BRINKMANN</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Podbielskistraße 188, 30177 Hannover</w:t>
            <w:br/>
            <w:t>Telefon 0511 44882-0 · post@heide-brinkmann.de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Betriebswirtschaftliche Auswertung Januar bis August 2025</dc:title>
  <dc:subject>HB/FT-2025-118</dc:subject>
  <dc:creator>STEUERKANZLEI HEIDE &amp; BRINKMANN</dc:creator>
  <cp:keywords/>
  <dc:description>generated by python-docx</dc:description>
  <cp:lastModifiedBy/>
  <cp:revision>1</cp:revision>
  <dcterms:created xsi:type="dcterms:W3CDTF">2013-12-23T23:15:00Z</dcterms:created>
  <dcterms:modified xsi:type="dcterms:W3CDTF">2013-12-23T23:15:00Z</dcterms:modified>
  <cp:category/>
</cp:coreProperties>
</file>