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364D"/>
          <w:sz w:val="30"/>
        </w:rPr>
        <w:t>KLINIKUM SÜDSTADT ROSTOCK</w:t>
      </w:r>
    </w:p>
    <w:p>
      <w:pPr>
        <w:jc w:val="center"/>
      </w:pPr>
      <w:r>
        <w:rPr>
          <w:b/>
          <w:sz w:val="21"/>
        </w:rPr>
        <w:t>Brustzentrum | Klinik für Frauenheilkunde und Onkologie</w:t>
      </w:r>
    </w:p>
    <w:p>
      <w:pPr>
        <w:jc w:val="center"/>
      </w:pPr>
      <w:r>
        <w:rPr>
          <w:sz w:val="17"/>
        </w:rPr>
        <w:t>Südring 81 | 18059 Rostock | Telefon 0381 4401-0 | brustzentrum@klinikum-rostock.de</w:t>
      </w:r>
    </w:p>
    <w:p>
      <w:r>
        <w:t>Landesamt für Gesundheit und Soziales</w:t>
        <w:br/>
        <w:t>Versorgungsamt</w:t>
        <w:br/>
        <w:t>Erich-Schlesinger-Straße 35</w:t>
        <w:br/>
        <w:t>18059 Rostock</w:t>
      </w:r>
    </w:p>
    <w:p>
      <w:pPr>
        <w:jc w:val="right"/>
      </w:pPr>
      <w:r>
        <w:t>Rostock, 7. Juli 2026</w:t>
      </w:r>
    </w:p>
    <w:p>
      <w:r>
        <w:rPr>
          <w:b/>
          <w:sz w:val="23"/>
        </w:rPr>
        <w:t>Befundbericht zu Frau Eva Kießling nach lokoregionärem Brustkrebsrezidiv</w:t>
      </w:r>
    </w:p>
    <w:p>
      <w:r>
        <w:t>Ihr Zeichen: LAGuS-SB 44/26381 | Unser Zeichen: BRZ 26/1188 | Behandlungsfall: 30077419</w:t>
      </w:r>
    </w:p>
    <w:p>
      <w:r>
        <w:t>Sehr geehrte Damen und Herren,</w:t>
      </w:r>
    </w:p>
    <w:p>
      <w:r>
        <w:t>auf Ihre Anfrage vom 23. Juni 2026 berichten wir über den aktuellen onkologischen Verlauf und die hier dokumentierten funktionellen Auswirkungen. Die Angaben beruhen auf den ambulanten Untersuchungen, dem Operationsbericht, dem Therapiekalender und den physiotherapeutischen Verlaufsbögen.</w:t>
      </w:r>
    </w:p>
    <w:p>
      <w:pPr>
        <w:pStyle w:val="Heading1"/>
      </w:pPr>
      <w:r>
        <w:t>1. Patientin und Diagnosen</w:t>
      </w:r>
    </w:p>
    <w:tbl>
      <w:tblPr>
        <w:tblStyle w:val="TableGrid"/>
        <w:tblW w:type="auto" w:w="0"/>
        <w:jc w:val="center"/>
        <w:tblLayout w:type="fixed"/>
        <w:tblLook w:firstColumn="1" w:firstRow="1" w:lastColumn="0" w:lastRow="0" w:noHBand="0" w:noVBand="1" w:val="04A0"/>
      </w:tblPr>
      <w:tblGrid>
        <w:gridCol w:w="2381"/>
        <w:gridCol w:w="6520"/>
      </w:tblGrid>
      <w:tr>
        <w:tc>
          <w:tcPr>
            <w:tcW w:type="dxa" w:w="4748"/>
            <w:shd w:fill="E8EEF2"/>
            <w:tcMar>
              <w:top w:w="100" w:type="dxa"/>
              <w:start w:w="100" w:type="dxa"/>
              <w:bottom w:w="100" w:type="dxa"/>
              <w:end w:w="100" w:type="dxa"/>
            </w:tcMar>
          </w:tcPr>
          <w:p>
            <w:r>
              <w:rPr>
                <w:b/>
                <w:sz w:val="19"/>
              </w:rPr>
              <w:t>Patientin</w:t>
            </w:r>
          </w:p>
        </w:tc>
        <w:tc>
          <w:tcPr>
            <w:tcW w:type="dxa" w:w="4748"/>
            <w:tcMar>
              <w:top w:w="100" w:type="dxa"/>
              <w:start w:w="100" w:type="dxa"/>
              <w:bottom w:w="100" w:type="dxa"/>
              <w:end w:w="100" w:type="dxa"/>
            </w:tcMar>
          </w:tcPr>
          <w:p>
            <w:r>
              <w:rPr>
                <w:sz w:val="19"/>
              </w:rPr>
              <w:t>Eva Kießling, geboren am 13. November 1969, Krämerstraße 22, 18055 Rostock</w:t>
            </w:r>
          </w:p>
        </w:tc>
      </w:tr>
      <w:tr>
        <w:tc>
          <w:tcPr>
            <w:tcW w:type="dxa" w:w="2381"/>
            <w:shd w:fill="E8EEF2"/>
            <w:tcMar>
              <w:top w:w="100" w:type="dxa"/>
              <w:start w:w="100" w:type="dxa"/>
              <w:bottom w:w="100" w:type="dxa"/>
              <w:end w:w="100" w:type="dxa"/>
            </w:tcMar>
          </w:tcPr>
          <w:p>
            <w:r>
              <w:rPr>
                <w:b/>
                <w:sz w:val="19"/>
              </w:rPr>
              <w:t>Erstdiagnose</w:t>
            </w:r>
          </w:p>
        </w:tc>
        <w:tc>
          <w:tcPr>
            <w:tcW w:type="dxa" w:w="6520"/>
            <w:tcMar>
              <w:top w:w="100" w:type="dxa"/>
              <w:start w:w="100" w:type="dxa"/>
              <w:bottom w:w="100" w:type="dxa"/>
              <w:end w:w="100" w:type="dxa"/>
            </w:tcMar>
          </w:tcPr>
          <w:p>
            <w:r>
              <w:rPr>
                <w:sz w:val="19"/>
              </w:rPr>
              <w:t>Mammakarzinom links, 2019; brusterhaltende Operation, adjuvante Bestrahlung und endokrine Therapie</w:t>
            </w:r>
          </w:p>
        </w:tc>
      </w:tr>
      <w:tr>
        <w:tc>
          <w:tcPr>
            <w:tcW w:type="dxa" w:w="2381"/>
            <w:shd w:fill="E8EEF2"/>
            <w:tcMar>
              <w:top w:w="100" w:type="dxa"/>
              <w:start w:w="100" w:type="dxa"/>
              <w:bottom w:w="100" w:type="dxa"/>
              <w:end w:w="100" w:type="dxa"/>
            </w:tcMar>
          </w:tcPr>
          <w:p>
            <w:r>
              <w:rPr>
                <w:b/>
                <w:sz w:val="19"/>
              </w:rPr>
              <w:t>Aktueller Befund</w:t>
            </w:r>
          </w:p>
        </w:tc>
        <w:tc>
          <w:tcPr>
            <w:tcW w:type="dxa" w:w="6520"/>
            <w:tcMar>
              <w:top w:w="100" w:type="dxa"/>
              <w:start w:w="100" w:type="dxa"/>
              <w:bottom w:w="100" w:type="dxa"/>
              <w:end w:w="100" w:type="dxa"/>
            </w:tcMar>
          </w:tcPr>
          <w:p>
            <w:r>
              <w:rPr>
                <w:sz w:val="19"/>
              </w:rPr>
              <w:t>Lokoregionäres Rezidiv links, histologisch gesichert am 18. März 2026</w:t>
            </w:r>
          </w:p>
        </w:tc>
      </w:tr>
      <w:tr>
        <w:tc>
          <w:tcPr>
            <w:tcW w:type="dxa" w:w="2381"/>
            <w:shd w:fill="E8EEF2"/>
            <w:tcMar>
              <w:top w:w="100" w:type="dxa"/>
              <w:start w:w="100" w:type="dxa"/>
              <w:bottom w:w="100" w:type="dxa"/>
              <w:end w:w="100" w:type="dxa"/>
            </w:tcMar>
          </w:tcPr>
          <w:p>
            <w:r>
              <w:rPr>
                <w:b/>
                <w:sz w:val="19"/>
              </w:rPr>
              <w:t>Operation</w:t>
            </w:r>
          </w:p>
        </w:tc>
        <w:tc>
          <w:tcPr>
            <w:tcW w:type="dxa" w:w="6520"/>
            <w:tcMar>
              <w:top w:w="100" w:type="dxa"/>
              <w:start w:w="100" w:type="dxa"/>
              <w:bottom w:w="100" w:type="dxa"/>
              <w:end w:w="100" w:type="dxa"/>
            </w:tcMar>
          </w:tcPr>
          <w:p>
            <w:r>
              <w:rPr>
                <w:sz w:val="19"/>
              </w:rPr>
              <w:t>Resektion des Rezidivs und axilläre Lymphknotenrevision am 14. April 2026</w:t>
            </w:r>
          </w:p>
        </w:tc>
      </w:tr>
      <w:tr>
        <w:tc>
          <w:tcPr>
            <w:tcW w:type="dxa" w:w="2381"/>
            <w:shd w:fill="E8EEF2"/>
            <w:tcMar>
              <w:top w:w="100" w:type="dxa"/>
              <w:start w:w="100" w:type="dxa"/>
              <w:bottom w:w="100" w:type="dxa"/>
              <w:end w:w="100" w:type="dxa"/>
            </w:tcMar>
          </w:tcPr>
          <w:p>
            <w:r>
              <w:rPr>
                <w:b/>
                <w:sz w:val="19"/>
              </w:rPr>
              <w:t>Begleiterkrankungen</w:t>
            </w:r>
          </w:p>
        </w:tc>
        <w:tc>
          <w:tcPr>
            <w:tcW w:type="dxa" w:w="6520"/>
            <w:tcMar>
              <w:top w:w="100" w:type="dxa"/>
              <w:start w:w="100" w:type="dxa"/>
              <w:bottom w:w="100" w:type="dxa"/>
              <w:end w:w="100" w:type="dxa"/>
            </w:tcMar>
          </w:tcPr>
          <w:p>
            <w:r>
              <w:rPr>
                <w:sz w:val="19"/>
              </w:rPr>
              <w:t>Arterielle Hypertonie, medikamentös eingestellt; degenerative Veränderungen der Halswirbelsäule</w:t>
            </w:r>
          </w:p>
        </w:tc>
      </w:tr>
    </w:tbl>
    <w:p/>
    <w:p>
      <w:pPr>
        <w:pStyle w:val="Heading1"/>
      </w:pPr>
      <w:r>
        <w:t>2. Behandlung seit dem Rezidiv</w:t>
      </w:r>
    </w:p>
    <w:p>
      <w:r>
        <w:t>Nach der Operation begann am 18. Mai 2026 eine systemische Therapie im dreiwöchigen Abstand. Der dritte Zyklus wurde am 29. Juni 2026 verabreicht. In den ersten vier bis fünf Tagen nach jedem Zyklus bestehen ausgeprägte Übelkeit, Appetitminderung und ein Ruhebedarf von mehreren Stunden täglich. Eine stationäre Aufnahme war bislang nicht erforderlich.</w:t>
      </w:r>
    </w:p>
    <w:p>
      <w:r>
        <w:t>Seit dem 9. Mai 2026 wird wegen einer zunehmenden Schwellung des linken Arms eine komplexe physikalische Entstauungstherapie durchgeführt. Frau Kießling trägt tagsüber einen maßgefertigten Kompressionsärmel und erhält derzeit zweimal wöchentlich manuelle Lymphdrainage. Hautläsionen oder eine akute Infektion liegen nicht vor.</w:t>
      </w:r>
    </w:p>
    <w:p>
      <w:pPr>
        <w:pStyle w:val="Heading1"/>
      </w:pPr>
      <w:r>
        <w:t>3. Objektive Befunde am 7. Juli 2026</w:t>
      </w:r>
    </w:p>
    <w:tbl>
      <w:tblPr>
        <w:tblStyle w:val="TableGrid"/>
        <w:tblW w:type="auto" w:w="0"/>
        <w:jc w:val="center"/>
        <w:tblLayout w:type="fixed"/>
        <w:tblLook w:firstColumn="1" w:firstRow="1" w:lastColumn="0" w:lastRow="0" w:noHBand="0" w:noVBand="1" w:val="04A0"/>
      </w:tblPr>
      <w:tblGrid>
        <w:gridCol w:w="2381"/>
        <w:gridCol w:w="6520"/>
      </w:tblGrid>
      <w:tr>
        <w:tc>
          <w:tcPr>
            <w:tcW w:type="dxa" w:w="4748"/>
            <w:shd w:fill="E8EEF2"/>
            <w:tcMar>
              <w:top w:w="100" w:type="dxa"/>
              <w:start w:w="100" w:type="dxa"/>
              <w:bottom w:w="100" w:type="dxa"/>
              <w:end w:w="100" w:type="dxa"/>
            </w:tcMar>
          </w:tcPr>
          <w:p>
            <w:r>
              <w:rPr>
                <w:b/>
                <w:sz w:val="19"/>
              </w:rPr>
              <w:t>Armumfang</w:t>
            </w:r>
          </w:p>
        </w:tc>
        <w:tc>
          <w:tcPr>
            <w:tcW w:type="dxa" w:w="4748"/>
            <w:tcMar>
              <w:top w:w="100" w:type="dxa"/>
              <w:start w:w="100" w:type="dxa"/>
              <w:bottom w:w="100" w:type="dxa"/>
              <w:end w:w="100" w:type="dxa"/>
            </w:tcMar>
          </w:tcPr>
          <w:p>
            <w:r>
              <w:rPr>
                <w:sz w:val="19"/>
              </w:rPr>
              <w:t>Unterarm links 28,7 Zentimeter, rechts 25,6 Zentimeter; Differenz 3,1 Zentimeter</w:t>
            </w:r>
          </w:p>
        </w:tc>
      </w:tr>
      <w:tr>
        <w:tc>
          <w:tcPr>
            <w:tcW w:type="dxa" w:w="2381"/>
            <w:shd w:fill="E8EEF2"/>
            <w:tcMar>
              <w:top w:w="100" w:type="dxa"/>
              <w:start w:w="100" w:type="dxa"/>
              <w:bottom w:w="100" w:type="dxa"/>
              <w:end w:w="100" w:type="dxa"/>
            </w:tcMar>
          </w:tcPr>
          <w:p>
            <w:r>
              <w:rPr>
                <w:b/>
                <w:sz w:val="19"/>
              </w:rPr>
              <w:t>Schulterbeweglichkeit</w:t>
            </w:r>
          </w:p>
        </w:tc>
        <w:tc>
          <w:tcPr>
            <w:tcW w:type="dxa" w:w="6520"/>
            <w:tcMar>
              <w:top w:w="100" w:type="dxa"/>
              <w:start w:w="100" w:type="dxa"/>
              <w:bottom w:w="100" w:type="dxa"/>
              <w:end w:w="100" w:type="dxa"/>
            </w:tcMar>
          </w:tcPr>
          <w:p>
            <w:r>
              <w:rPr>
                <w:sz w:val="19"/>
              </w:rPr>
              <w:t>Aktive Abduktion links 105 Grad, rechts 165 Grad; Elevation links 118 Grad</w:t>
            </w:r>
          </w:p>
        </w:tc>
      </w:tr>
      <w:tr>
        <w:tc>
          <w:tcPr>
            <w:tcW w:type="dxa" w:w="2381"/>
            <w:shd w:fill="E8EEF2"/>
            <w:tcMar>
              <w:top w:w="100" w:type="dxa"/>
              <w:start w:w="100" w:type="dxa"/>
              <w:bottom w:w="100" w:type="dxa"/>
              <w:end w:w="100" w:type="dxa"/>
            </w:tcMar>
          </w:tcPr>
          <w:p>
            <w:r>
              <w:rPr>
                <w:b/>
                <w:sz w:val="19"/>
              </w:rPr>
              <w:t>Kraft</w:t>
            </w:r>
          </w:p>
        </w:tc>
        <w:tc>
          <w:tcPr>
            <w:tcW w:type="dxa" w:w="6520"/>
            <w:tcMar>
              <w:top w:w="100" w:type="dxa"/>
              <w:start w:w="100" w:type="dxa"/>
              <w:bottom w:w="100" w:type="dxa"/>
              <w:end w:w="100" w:type="dxa"/>
            </w:tcMar>
          </w:tcPr>
          <w:p>
            <w:r>
              <w:rPr>
                <w:sz w:val="19"/>
              </w:rPr>
              <w:t>Handkraft links 18 Kilogramm, rechts 27 Kilogramm; schmerzbedingtes Nachlassen bei Wiederholung</w:t>
            </w:r>
          </w:p>
        </w:tc>
      </w:tr>
      <w:tr>
        <w:tc>
          <w:tcPr>
            <w:tcW w:type="dxa" w:w="2381"/>
            <w:shd w:fill="E8EEF2"/>
            <w:tcMar>
              <w:top w:w="100" w:type="dxa"/>
              <w:start w:w="100" w:type="dxa"/>
              <w:bottom w:w="100" w:type="dxa"/>
              <w:end w:w="100" w:type="dxa"/>
            </w:tcMar>
          </w:tcPr>
          <w:p>
            <w:r>
              <w:rPr>
                <w:b/>
                <w:sz w:val="19"/>
              </w:rPr>
              <w:t>Belastungstest</w:t>
            </w:r>
          </w:p>
        </w:tc>
        <w:tc>
          <w:tcPr>
            <w:tcW w:type="dxa" w:w="6520"/>
            <w:tcMar>
              <w:top w:w="100" w:type="dxa"/>
              <w:start w:w="100" w:type="dxa"/>
              <w:bottom w:w="100" w:type="dxa"/>
              <w:end w:w="100" w:type="dxa"/>
            </w:tcMar>
          </w:tcPr>
          <w:p>
            <w:r>
              <w:rPr>
                <w:sz w:val="19"/>
              </w:rPr>
              <w:t>Sechs-Minuten-Gehtest 362 Meter; anschließend zehn Minuten Sitzpause wegen Erschöpfung</w:t>
            </w:r>
          </w:p>
        </w:tc>
      </w:tr>
      <w:tr>
        <w:tc>
          <w:tcPr>
            <w:tcW w:type="dxa" w:w="2381"/>
            <w:shd w:fill="E8EEF2"/>
            <w:tcMar>
              <w:top w:w="100" w:type="dxa"/>
              <w:start w:w="100" w:type="dxa"/>
              <w:bottom w:w="100" w:type="dxa"/>
              <w:end w:w="100" w:type="dxa"/>
            </w:tcMar>
          </w:tcPr>
          <w:p>
            <w:r>
              <w:rPr>
                <w:b/>
                <w:sz w:val="19"/>
              </w:rPr>
              <w:t>Allgemeinzustand</w:t>
            </w:r>
          </w:p>
        </w:tc>
        <w:tc>
          <w:tcPr>
            <w:tcW w:type="dxa" w:w="6520"/>
            <w:tcMar>
              <w:top w:w="100" w:type="dxa"/>
              <w:start w:w="100" w:type="dxa"/>
              <w:bottom w:w="100" w:type="dxa"/>
              <w:end w:w="100" w:type="dxa"/>
            </w:tcMar>
          </w:tcPr>
          <w:p>
            <w:r>
              <w:rPr>
                <w:sz w:val="19"/>
              </w:rPr>
              <w:t>ECOG 1 bis 2 im Therapieintervall; Gewicht 68,4 Kilogramm bei 169 Zentimetern Körpergröße</w:t>
            </w:r>
          </w:p>
        </w:tc>
      </w:tr>
      <w:tr>
        <w:tc>
          <w:tcPr>
            <w:tcW w:type="dxa" w:w="2381"/>
            <w:shd w:fill="E8EEF2"/>
            <w:tcMar>
              <w:top w:w="100" w:type="dxa"/>
              <w:start w:w="100" w:type="dxa"/>
              <w:bottom w:w="100" w:type="dxa"/>
              <w:end w:w="100" w:type="dxa"/>
            </w:tcMar>
          </w:tcPr>
          <w:p>
            <w:r>
              <w:rPr>
                <w:b/>
                <w:sz w:val="19"/>
              </w:rPr>
              <w:t>Labor</w:t>
            </w:r>
          </w:p>
        </w:tc>
        <w:tc>
          <w:tcPr>
            <w:tcW w:type="dxa" w:w="6520"/>
            <w:tcMar>
              <w:top w:w="100" w:type="dxa"/>
              <w:start w:w="100" w:type="dxa"/>
              <w:bottom w:w="100" w:type="dxa"/>
              <w:end w:w="100" w:type="dxa"/>
            </w:tcMar>
          </w:tcPr>
          <w:p>
            <w:r>
              <w:rPr>
                <w:sz w:val="19"/>
              </w:rPr>
              <w:t>Leukozyten 3,2 G/l, Hämoglobin 10,8 g/dl, Thrombozyten 184 G/l am 6. Juli 2026</w:t>
            </w:r>
          </w:p>
        </w:tc>
      </w:tr>
    </w:tbl>
    <w:p/>
    <w:p>
      <w:pPr>
        <w:pStyle w:val="Heading1"/>
      </w:pPr>
      <w:r>
        <w:t>4. Auswirkungen im Alltag</w:t>
      </w:r>
    </w:p>
    <w:p>
      <w:r>
        <w:t>Frau Kießling kann den linken Arm nur kurz über Schulterhöhe einsetzen. Das Aufhängen von Wäsche, längeres Tragen von Einkaufstaschen und Arbeiten mit gestrecktem Arm führen nach wenigen Minuten zu Spannungsgefühl und Schmerz. Feinmotorische Verrichtungen sind möglich, dauern bei Schwellung jedoch länger. Für schwere Einkäufe und die Reinigung höherer Flächen benötigt sie Unterstützung durch ihre Schwester.</w:t>
      </w:r>
    </w:p>
    <w:p>
      <w:r>
        <w:t>An den ersten vier bis fünf Tagen nach einer Infusion verlässt Frau Kießling die Wohnung nur zu notwendigen Terminen. An den übrigen Tagen kann sie kurze Wege selbstständig zurücklegen. Eine Gehstütze wird nicht benötigt. Nach einer Strecke von etwa 500 Metern oder nach Treppen über zwei Etagen ist regelmäßig eine Pause erforderlich.</w:t>
      </w:r>
    </w:p>
    <w:p>
      <w:pPr>
        <w:pStyle w:val="Heading1"/>
      </w:pPr>
      <w:r>
        <w:t>5. Weiterer Verlauf</w:t>
      </w:r>
    </w:p>
    <w:p>
      <w:r>
        <w:t>Die nächsten Therapiezyklen sind für den 20. Juli und 10. August 2026 vorgesehen. Eine bildgebende Verlaufskontrolle ist für den 24. August 2026 terminiert. Erst danach lässt sich beurteilen, ob das bisherige Schema fortgeführt wird. Die Dauer des Lymphödems und das Ausmaß einer bleibenden Bewegungseinschränkung können derzeit nicht zuverlässig prognostiziert werden.</w:t>
      </w:r>
    </w:p>
    <w:p>
      <w:r>
        <w:t>Der Bericht beschreibt den gegenwärtigen medizinischen und funktionellen Zustand. Eine rechtliche Bewertung oder Festlegung eines Grades der Behinderung wird nicht vorgenommen.</w:t>
      </w:r>
    </w:p>
    <w:p>
      <w:pPr>
        <w:pStyle w:val="Heading1"/>
      </w:pPr>
      <w:r>
        <w:t>6. Beigefügte Unterlagen</w:t>
      </w:r>
    </w:p>
    <w:p>
      <w:pPr>
        <w:pStyle w:val="ListBullet"/>
      </w:pPr>
      <w:r>
        <w:t>Operationsbericht vom 14. April 2026</w:t>
      </w:r>
    </w:p>
    <w:p>
      <w:pPr>
        <w:pStyle w:val="ListBullet"/>
      </w:pPr>
      <w:r>
        <w:t>Therapiekalender vom 18. Mai bis 10. August 2026</w:t>
      </w:r>
    </w:p>
    <w:p>
      <w:pPr>
        <w:pStyle w:val="ListBullet"/>
      </w:pPr>
      <w:r>
        <w:t>Physiotherapeutische Umfangsmessungen vom 9. Mai bis 7. Juli 2026</w:t>
      </w:r>
    </w:p>
    <w:p>
      <w:pPr>
        <w:pStyle w:val="ListBullet"/>
      </w:pPr>
      <w:r>
        <w:t>Laborblatt vom 6. Juli 2026</w:t>
      </w:r>
    </w:p>
    <w:p>
      <w:pPr>
        <w:pStyle w:val="ListBullet"/>
      </w:pPr>
      <w:r>
        <w:t>CSV-Export Therapieverlauf Lymphödem und Belastung</w:t>
      </w:r>
    </w:p>
    <w:p>
      <w:r>
        <w:t>Mit freundlichen Grüßen</w:t>
      </w:r>
    </w:p>
    <w:p>
      <w:r>
        <w:t>Dr. Miriam Groß</w:t>
        <w:br/>
        <w:t>Oberärztin des Brustzentrums</w:t>
        <w:br/>
        <w:t>Fachärztin für Frauenheilkunde und Geburtshilfe</w:t>
        <w:br/>
        <w:t>Schwerpunkt Gynäkologische Onkologie</w:t>
      </w:r>
    </w:p>
    <w:sectPr w:rsidR="00FC693F" w:rsidRPr="0006063C" w:rsidSect="00034616">
      <w:headerReference w:type="default" r:id="rId9"/>
      <w:footerReference w:type="default" r:id="rId10"/>
      <w:pgSz w:w="11906" w:h="16838"/>
      <w:pgMar w:top="1020" w:right="1134"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t>Klinikum Südstadt Rostock | Südring 81 | 18059 Rostock | Telefon 0381 4401-0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5F5F"/>
        <w:sz w:val="16"/>
      </w:rPr>
      <w:t>Klinikum Südstadt Rostock | Brustzentrum | BRZ 26/1188 Kießling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3364D"/>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336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2336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