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15 – Kanzleinotizen (intern)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Zeitraum:</w:t>
      </w:r>
      <w:r>
        <w:rPr>
          <w:rFonts w:ascii="Times New Roman" w:hAnsi="Times New Roman"/>
          <w:b/>
          <w:sz w:val="22"/>
        </w:rPr>
        <w:t xml:space="preserve"> 22. April – 28. Mai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Kanzlei:</w:t>
      </w:r>
      <w:r>
        <w:rPr>
          <w:rFonts w:ascii="Times New Roman" w:hAnsi="Times New Roman"/>
          <w:b/>
          <w:sz w:val="22"/>
        </w:rPr>
        <w:t xml:space="preserve"> Drosselberg &amp; Partner Insolvenzrecht,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Bearbeitung:</w:t>
      </w:r>
      <w:r>
        <w:rPr>
          <w:rFonts w:ascii="Times New Roman" w:hAnsi="Times New Roman"/>
          <w:b/>
          <w:sz w:val="22"/>
        </w:rPr>
        <w:t xml:space="preserve"> Dr. Drosselberg, RAin Feuerbach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Tätigkeitschronik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22. April 2026 (Dienstag)</w:t>
      </w:r>
    </w:p>
    <w:p>
      <w:pPr>
        <w:pStyle w:val="ListBullet"/>
        <w:spacing w:line="259" w:lineRule="auto" w:after="60"/>
      </w:pPr>
      <w:r>
        <w:t>09:00: Eingang Mandat-Anfrage (Telefonat Friedhelm Großbach); Erstbesprechung vereinbart</w:t>
      </w:r>
    </w:p>
    <w:p>
      <w:pPr>
        <w:pStyle w:val="ListBullet"/>
        <w:spacing w:line="259" w:lineRule="auto" w:after="60"/>
      </w:pPr>
      <w:r>
        <w:t>14:00–17:30: Erstberatung Mandantin (vgl. Aktenstück 02)</w:t>
      </w:r>
    </w:p>
    <w:p>
      <w:pPr>
        <w:pStyle w:val="ListBullet"/>
        <w:spacing w:line="259" w:lineRule="auto" w:after="60"/>
      </w:pPr>
      <w:r>
        <w:t>17:30: Interessenkonflikt-Check: keine Vorbehalte, Mandat angenommen</w:t>
      </w:r>
    </w:p>
    <w:p>
      <w:pPr>
        <w:pStyle w:val="ListBullet"/>
        <w:spacing w:line="259" w:lineRule="auto" w:after="60"/>
      </w:pPr>
      <w:r>
        <w:t>18:00: Mandatsvertrag erstellt und an Mandantin per E-Mail versandt</w:t>
      </w:r>
    </w:p>
    <w:p>
      <w:pPr>
        <w:pStyle w:val="ListBullet"/>
        <w:spacing w:line="259" w:lineRule="auto" w:after="60"/>
      </w:pPr>
      <w:r>
        <w:t>18:30: Vorschuss-Rechnung 50.000 EUR ausgestellt (fällig 25.04.2026)</w:t>
      </w:r>
    </w:p>
    <w:p>
      <w:pPr>
        <w:spacing w:line="259" w:lineRule="auto" w:after="60"/>
        <w:jc w:val="left"/>
      </w:pPr>
      <w:r>
        <w:rPr>
          <w:b/>
        </w:rPr>
        <w:t>Zeiterfassung:</w:t>
      </w:r>
      <w:r>
        <w:t xml:space="preserve"> Drosselberg 3,5 h (1.330 EUR), Feuerbach 3,5 h (770 EUR)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23.–25. April 2026</w:t>
      </w:r>
    </w:p>
    <w:p>
      <w:pPr>
        <w:pStyle w:val="ListBullet"/>
        <w:spacing w:line="259" w:lineRule="auto" w:after="60"/>
      </w:pPr>
      <w:r>
        <w:t>Anfordern Handelsregisterauszug HRA 4471 (AG Erfurt)</w:t>
      </w:r>
    </w:p>
    <w:p>
      <w:pPr>
        <w:pStyle w:val="ListBullet"/>
        <w:spacing w:line="259" w:lineRule="auto" w:after="60"/>
      </w:pPr>
      <w:r>
        <w:t>Buchhaltungsunterlagen erhalten und gesichtet (Pabst/Großbach)</w:t>
      </w:r>
    </w:p>
    <w:p>
      <w:pPr>
        <w:pStyle w:val="ListBullet"/>
        <w:spacing w:line="259" w:lineRule="auto" w:after="60"/>
      </w:pPr>
      <w:r>
        <w:t>Liquiditätsstatus erhoben (vgl. Erstberatungsnotiz)</w:t>
      </w:r>
    </w:p>
    <w:p>
      <w:pPr>
        <w:pStyle w:val="ListBullet"/>
        <w:spacing w:line="259" w:lineRule="auto" w:after="60"/>
      </w:pPr>
      <w:r>
        <w:t>Anfrage Verhandlungstermin Sparkasse Mittelthüringen (Hr. Krause): Termin 10.05.2026 vereinbart</w:t>
      </w:r>
    </w:p>
    <w:p>
      <w:pPr>
        <w:pStyle w:val="ListBullet"/>
        <w:spacing w:line="259" w:lineRule="auto" w:after="60"/>
      </w:pPr>
      <w:r>
        <w:t>Erste Skizze IDW-S-6-Struktur; Abstimmung mit WSP-Wirtschaftsprüfung (WP Kleemann)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28. April 2026</w:t>
      </w:r>
    </w:p>
    <w:p>
      <w:pPr>
        <w:pStyle w:val="ListBullet"/>
        <w:spacing w:line="259" w:lineRule="auto" w:after="60"/>
      </w:pPr>
      <w:r>
        <w:t>Liquiditätsplan 13 Wochen (Entwurf) erstellt (Pabst + Feuerbach)</w:t>
      </w:r>
    </w:p>
    <w:p>
      <w:pPr>
        <w:pStyle w:val="ListBullet"/>
        <w:spacing w:line="259" w:lineRule="auto" w:after="60"/>
      </w:pPr>
      <w:r>
        <w:t>Eigenverwaltungsplan Paragraf 270a InsO: Entwurf Drosselberg</w:t>
      </w:r>
    </w:p>
    <w:p>
      <w:pPr>
        <w:pStyle w:val="ListBullet"/>
        <w:spacing w:line="259" w:lineRule="auto" w:after="60"/>
      </w:pPr>
      <w:r>
        <w:t>Recherche Sachwalter: Dr. Henrik Sonnenschein (Magdeburg) angefragt; hat zugesagt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29. April 2026</w:t>
      </w:r>
    </w:p>
    <w:p>
      <w:pPr>
        <w:pStyle w:val="ListBullet"/>
        <w:spacing w:line="259" w:lineRule="auto" w:after="60"/>
      </w:pPr>
      <w:r>
        <w:t>Schutzschirm-Antragsunterlagen: Strukturiert (vgl. Aktenstück 03)</w:t>
      </w:r>
    </w:p>
    <w:p>
      <w:pPr>
        <w:pStyle w:val="ListBullet"/>
        <w:spacing w:line="259" w:lineRule="auto" w:after="60"/>
      </w:pPr>
      <w:r>
        <w:t>Bescheinigung nach Paragraf 270d Absatz 1 Satz 1 InsO: Dr. Drosselberg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Mai 2026</w:t>
      </w:r>
    </w:p>
    <w:p>
      <w:pPr>
        <w:pStyle w:val="ListBullet"/>
        <w:spacing w:line="259" w:lineRule="auto" w:after="60"/>
      </w:pPr>
      <w:r>
        <w:t>IDW-S-6-Gutachten fertiggestellt (Drosselberg + Kleemann)</w:t>
      </w:r>
    </w:p>
    <w:p>
      <w:pPr>
        <w:pStyle w:val="ListBullet"/>
        <w:spacing w:line="259" w:lineRule="auto" w:after="60"/>
      </w:pPr>
      <w:r>
        <w:t>Unterschriften GF geholt (Friedhelm und Bertha)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 Mai 2026</w:t>
      </w:r>
    </w:p>
    <w:p>
      <w:pPr>
        <w:pStyle w:val="ListBullet"/>
        <w:spacing w:line="259" w:lineRule="auto" w:after="60"/>
      </w:pPr>
      <w:r>
        <w:rPr>
          <w:b/>
        </w:rPr>
        <w:t>Einreichung Schutzschirmantrag AG Erfurt</w:t>
      </w:r>
      <w:r>
        <w:t xml:space="preserve"> (per Boten, 10:47 Uhr)</w:t>
      </w:r>
    </w:p>
    <w:p>
      <w:pPr>
        <w:pStyle w:val="ListBullet"/>
        <w:spacing w:line="259" w:lineRule="auto" w:after="60"/>
      </w:pPr>
      <w:r>
        <w:t>Empfangsbestätigung AG Erfurt: Eingang 11:15 Uhr; vorläufiges AZ 203 IN 71/26 SA</w:t>
      </w:r>
    </w:p>
    <w:p>
      <w:pPr>
        <w:pStyle w:val="ListBullet"/>
        <w:spacing w:line="259" w:lineRule="auto" w:after="60"/>
      </w:pPr>
      <w:r>
        <w:rPr>
          <w:b/>
        </w:rPr>
        <w:t>Anzeige Restrukturierungssache AG Erfurt</w:t>
      </w:r>
      <w:r>
        <w:t xml:space="preserve"> (zeitgleich, Paragraf 31 StaRUG)</w:t>
      </w:r>
    </w:p>
    <w:p>
      <w:pPr>
        <w:pStyle w:val="ListBullet"/>
        <w:spacing w:line="259" w:lineRule="auto" w:after="60"/>
      </w:pPr>
      <w:r>
        <w:t>AZ Restrukturierungssache: 203 RES 7/26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9.–10. Mai 2026</w:t>
      </w:r>
    </w:p>
    <w:p>
      <w:pPr>
        <w:pStyle w:val="ListBullet"/>
        <w:spacing w:line="259" w:lineRule="auto" w:after="60"/>
      </w:pPr>
      <w:r>
        <w:t>09.05: Telefonat Voß (aggressiv, Gläubigerantrag-Drohung – notiert)</w:t>
      </w:r>
    </w:p>
    <w:p>
      <w:pPr>
        <w:pStyle w:val="ListBullet"/>
        <w:spacing w:line="259" w:lineRule="auto" w:after="60"/>
      </w:pPr>
      <w:r>
        <w:t>10.05: Verhandlung Sparkasse (vgl. Aktenstück 08)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11. Mai 2026</w:t>
      </w:r>
    </w:p>
    <w:p>
      <w:pPr>
        <w:pStyle w:val="ListBullet"/>
        <w:spacing w:line="259" w:lineRule="auto" w:after="60"/>
      </w:pPr>
      <w:r>
        <w:t>Stundungsantrag FA Erfurt Paragraf 222 AO eingereicht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12. Mai 2026</w:t>
      </w:r>
    </w:p>
    <w:p>
      <w:pPr>
        <w:pStyle w:val="ListBullet"/>
        <w:spacing w:line="259" w:lineRule="auto" w:after="60"/>
      </w:pPr>
      <w:r>
        <w:t>Beauftragung Immobiliengutachter (WSP Immobilien Erfurt, Herr Kaupe): Gutachten</w:t>
      </w:r>
    </w:p>
    <w:p>
      <w:pPr>
        <w:spacing w:line="259" w:lineRule="auto" w:after="60"/>
        <w:jc w:val="left"/>
      </w:pPr>
      <w:r>
        <w:t>Betriebsgrundstück Anscharstraße 14 bis 25.05.2026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14. Mai 2026</w:t>
      </w:r>
    </w:p>
    <w:p>
      <w:pPr>
        <w:pStyle w:val="ListBullet"/>
        <w:spacing w:line="259" w:lineRule="auto" w:after="60"/>
      </w:pPr>
      <w:r>
        <w:t>Bitcoin-Aufstellung (8 BTC, Bitvavo) als PDF an Sparkasse Mittelthüringen (Hr. Krause) übersandt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15. Mai 2026</w:t>
      </w:r>
    </w:p>
    <w:p>
      <w:pPr>
        <w:pStyle w:val="ListBullet"/>
        <w:spacing w:line="259" w:lineRule="auto" w:after="60"/>
      </w:pPr>
      <w:r>
        <w:t>IDW-S-6-Gutachten an Sparkasse Mittelthüringen übermittelt</w:t>
      </w:r>
    </w:p>
    <w:p>
      <w:pPr>
        <w:pStyle w:val="ListBullet"/>
        <w:spacing w:line="259" w:lineRule="auto" w:after="60"/>
      </w:pPr>
      <w:r>
        <w:t>Standstill-Abkommen Sparkasse unterzeichnet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18. Mai 2026</w:t>
      </w:r>
    </w:p>
    <w:p>
      <w:pPr>
        <w:pStyle w:val="ListBullet"/>
        <w:spacing w:line="259" w:lineRule="auto" w:after="60"/>
      </w:pPr>
      <w:r>
        <w:t>Prüfungsvermerk Anfechtung Gesellschafterdarlehen Friedhelm Großbach (Paragrafen 133, 135 InsO)</w:t>
      </w:r>
    </w:p>
    <w:p>
      <w:pPr>
        <w:spacing w:line="259" w:lineRule="auto" w:after="60"/>
        <w:jc w:val="left"/>
      </w:pPr>
      <w:r>
        <w:t>abgeschlossen (Aktenstück 09)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20. Mai 2026</w:t>
      </w:r>
    </w:p>
    <w:p>
      <w:pPr>
        <w:pStyle w:val="ListBullet"/>
        <w:spacing w:line="259" w:lineRule="auto" w:after="60"/>
      </w:pPr>
      <w:r>
        <w:t>Prüfungsvermerk Anfechtung Bonus Bertha Großbach-Riemenschneider (Aktenstück 10)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22. Mai 2026</w:t>
      </w:r>
    </w:p>
    <w:p>
      <w:pPr>
        <w:pStyle w:val="ListBullet"/>
        <w:spacing w:line="259" w:lineRule="auto" w:after="60"/>
      </w:pPr>
      <w:r>
        <w:t>Verwertungsstrategie BTC (Aktenstück 11) abgeschlossen</w:t>
      </w:r>
    </w:p>
    <w:p>
      <w:pPr>
        <w:pStyle w:val="ListBullet"/>
        <w:spacing w:line="259" w:lineRule="auto" w:after="60"/>
      </w:pPr>
      <w:r>
        <w:t>E-Mail an Bitvavo-Support (Auskunft zu Verifizierungsdokumenten)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25. Mai 2026</w:t>
      </w:r>
    </w:p>
    <w:p>
      <w:pPr>
        <w:pStyle w:val="ListBullet"/>
        <w:spacing w:line="259" w:lineRule="auto" w:after="60"/>
      </w:pPr>
      <w:r>
        <w:t>Antwortschreiben an Voß (Sofortangebot 50 TEUR + Ratenplan) abgesandt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28. Mai 2026</w:t>
      </w:r>
    </w:p>
    <w:p>
      <w:pPr>
        <w:pStyle w:val="ListBullet"/>
        <w:spacing w:line="259" w:lineRule="auto" w:after="60"/>
      </w:pPr>
      <w:r>
        <w:t>Strategie-Memorandum an Mandantin (Aktenstück 14) versandt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Offene Punkte per 28. Mai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Offener 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Rückmeldung Voß auf Sofortangebot abwarten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Feuerbach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Folgetermin 02.06. vorbereiten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Siemens-Verhandlung ansetzen (Termin-Anfrage Dr. Brunner, Siemens RI)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 Aluminium Stade / RA Lauterbach bestätigen (14.06.)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Feuerbach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Bertha Großbach persönliche Anwaltsberatung empfehlen (Interessenkonflikt)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Gespräch 30.05.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BTC-Verwertung: Steuerberater Rohland einschalten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Pabst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Stundungsantrag FA Erfurt: Eingangsbestätigung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Feuerbach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Wiedervorlage 01.06.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StaRUG-Planentwurf für Gerichtsvorlage finalisieren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Honorarübersicht (kumuliert bis 28. 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Tätigkeit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Zeitaufwand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Erstberatung, Mandatsannahme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3.920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23.–30.04.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Aktenstruktur, Liquiditätsplan, IDW S 6 Vorbereitung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8.640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02.–05.05.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IDW S 6, Antragsunterlagen, Einreichung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6.720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05.–15.05.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Gläubigerkommunikation, Sparkassen-Verhandlung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5.760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15.–28.05.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Anfechtungsprüfung, BTC-Konzept, Strategie-Memo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7.680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67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32.720 EUR</w:t>
            </w:r>
          </w:p>
        </w:tc>
      </w:tr>
    </w:tbl>
    <w:p>
      <w:pPr>
        <w:spacing w:line="259" w:lineRule="auto" w:after="60"/>
        <w:jc w:val="left"/>
      </w:pPr>
      <w:r>
        <w:t>Verrechnung mit Vorschuss (50.000 EUR): Verbleibend 17.280 EUR.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Interne Kanzleinotizen – Drosselberg &amp; Partner Insolvenzrecht, Erfurt</w:t>
      </w:r>
    </w:p>
    <w:p>
      <w:pPr>
        <w:spacing w:line="259" w:lineRule="auto" w:after="60"/>
        <w:jc w:val="left"/>
      </w:pPr>
      <w:r>
        <w:rPr>
          <w:i/>
        </w:rPr>
        <w:t>Stand: 28. Mai 2026 – Vertraulich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