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Söll Rödelsteiner und Partner mbB</w:t>
      </w:r>
    </w:p>
    <w:p>
      <w:pPr>
        <w:jc w:val="center"/>
      </w:pPr>
      <w:r>
        <w:t>Karolinenstr. 27, 90402 Nürnberg</w:t>
      </w:r>
    </w:p>
    <w:p>
      <w:r/>
    </w:p>
    <w:p>
      <w:r>
        <w:t>Oberlandesgericht Nürnberg</w:t>
      </w:r>
    </w:p>
    <w:p>
      <w:r>
        <w:t>7. Familiensenat</w:t>
      </w:r>
    </w:p>
    <w:p>
      <w:r>
        <w:t>Fürther Str. 110, 90429 Nürnberg</w:t>
      </w:r>
    </w:p>
    <w:p>
      <w:r/>
    </w:p>
    <w:p>
      <w:r>
        <w:t>Nürnberg, 04.07.2022</w:t>
      </w:r>
    </w:p>
    <w:p>
      <w:r/>
    </w:p>
    <w:p>
      <w:r>
        <w:rPr>
          <w:b/>
        </w:rPr>
        <w:t>Az. 7 UF 743/22</w:t>
      </w:r>
    </w:p>
    <w:p>
      <w:r>
        <w:t>In der Familiensache Schäfer ./. Schäfer</w:t>
      </w:r>
    </w:p>
    <w:p>
      <w:r/>
    </w:p>
    <w:p>
      <w:pPr>
        <w:pStyle w:val="Heading1"/>
      </w:pPr>
      <w:r>
        <w:rPr>
          <w:rFonts w:ascii="Calibri" w:hAnsi="Calibri"/>
        </w:rPr>
        <w:t>Beschwerdeerwiderung</w:t>
      </w:r>
    </w:p>
    <w:p>
      <w:r>
        <w:t>Namens und mit Vollmacht der Antragsgegnerin und Beschwerdegegnerin Frau Leonie Schäfer beantragen wir,</w:t>
      </w:r>
    </w:p>
    <w:p>
      <w:r/>
    </w:p>
    <w:p>
      <w:r>
        <w:rPr>
          <w:b/>
        </w:rPr>
        <w:t>die Beschwerde des Antragstellers gegen den Beschluss des AG Nürnberg-Fürth vom 28.02.2022 zurückzuweisen.</w:t>
      </w:r>
    </w:p>
    <w:p>
      <w:r/>
    </w:p>
    <w:p>
      <w:pPr>
        <w:pStyle w:val="Heading2"/>
      </w:pPr>
      <w:r>
        <w:rPr>
          <w:rFonts w:ascii="Calibri" w:hAnsi="Calibri"/>
        </w:rPr>
        <w:t>Begründung</w:t>
      </w:r>
    </w:p>
    <w:p>
      <w:r>
        <w:t>1. Verteidigungsgrund: Strenge Ausnahmenatur des Paragrafen 27 VersAusglG</w:t>
      </w:r>
    </w:p>
    <w:p>
      <w:r>
        <w:t>Paragraf 27 VersAusglG ist nach gefestigter Rechtsprechung des Bundesgerichtshofs eine eng auszulegende Ausnahmevorschrift. Der Senat darf nur in extremen Konstellationen den verfassungsrechtlich abgesicherten Halbteilungsgrundsatz (Art. 6 GG; BVerfG 53, 257) durchbrechen. Der Antragsteller hat keine solche Konstellation dargetan.</w:t>
      </w:r>
    </w:p>
    <w:p>
      <w:r>
        <w:t>Zitiert seien zunächst die einschlägigen Leitentscheidungen:</w:t>
      </w:r>
    </w:p>
    <w:p>
      <w:r>
        <w:t>- BGH, Beschluss vom 27.06.2018 - XII ZB 73/17 = FamRZ 2018, 1746;</w:t>
      </w:r>
    </w:p>
    <w:p>
      <w:r>
        <w:t>- BGH, Beschluss vom 17.09.2014 - XII ZB 156/14 = FamRZ 2014, 1614;</w:t>
      </w:r>
    </w:p>
    <w:p>
      <w:r>
        <w:t>- BGH, Beschluss vom 11.07.2012 - XII ZB 459/11 = FamRZ 2012, 1545.</w:t>
      </w:r>
    </w:p>
    <w:p>
      <w:r/>
    </w:p>
    <w:p>
      <w:r>
        <w:t>2. Privilegierung der Erbschaft nach Paragraf 1374 Abs. 2 BGB</w:t>
      </w:r>
    </w:p>
    <w:p>
      <w:r>
        <w:t>Das Vermögen der Antragsgegnerin stammt im Wesentlichen aus einer einseitigen Erbschaft des Onkels Theodor Winterstein (verstorben 14.03.2019, Erbschein AG Bamberg VI 1138/19 vom 02.09.2019). Solches Vermögen ist nach Paragraf 1374 Abs. 2 BGB im Zugewinnausgleich privilegiert. Diese gesetzgeberische Privilegierung darf nicht über den Versorgungsausgleich umgangen werden.</w:t>
      </w:r>
    </w:p>
    <w:p>
      <w:r/>
    </w:p>
    <w:p>
      <w:r>
        <w:t>3. Substanzgebundenheit und eingeschränkte Verwertbarkeit</w:t>
      </w:r>
    </w:p>
    <w:p>
      <w:r>
        <w:t>Der Antragsteller stellt das ererbte Vermögen so dar, als sei es jederzeit liquide. Dies ist unzutreffend. Von den 6,9 Mio. EUR Verkehrswert entfallen 4,8 Mio. EUR auf drei Immobilien (Mehrfamilienhaus Bamberg, Gewerbeimmobilie Forchheim, ETW München), die kurzfristig nicht ohne erhebliche Substanzverluste verwertbar sind; Mieter sind langfristig gebunden. 1,2 Mio. EUR liegen in einem konservativ ausgerichteten Wertpapierdepot, das überwiegend Stiftungs- und Pensionsfondscharakter hat. Lediglich 450.000 EUR Festgelder sind kurzfristig liquide.</w:t>
      </w:r>
    </w:p>
    <w:p>
      <w:r>
        <w:t>Eine Beleihung der Immobilien zur Bedienung eines unterstellten Versorgungsausfalls ist altersbedingt (Antragsgegnerin Jg. 1961) und marktbedingt eingeschränkt; die Sparkasse Bamberg hat mit Schreiben vom 14.02.2022 mitgeteilt, dass eine Vollvalutierung nur bis 60 Prozent des Verkehrswerts und nur für maximal 10 Jahre erfolgt.</w:t>
      </w:r>
    </w:p>
    <w:p>
      <w:r/>
    </w:p>
    <w:p>
      <w:r>
        <w:t>4. Keine gemeinsame Vermögensplanung</w:t>
      </w:r>
    </w:p>
    <w:p>
      <w:r>
        <w:t>Der Vortrag des Antragstellers zur 'gemeinsamen Vermögensplanung' ist unsubstantiiert und wird hilfsweise mit Nichtwissen bestritten. Die Praxis stand bereits bei Eheschließung 1987; die Antragsgegnerin hat lediglich eine zeitweise Buchführung übernommen, die in den Praxiskostenstellen abgegolten war.</w:t>
      </w:r>
    </w:p>
    <w:p>
      <w:r/>
    </w:p>
    <w:p>
      <w:r>
        <w:t>5. Paragraf 8 der notariellen Vereinbarung 11.11.2021</w:t>
      </w:r>
    </w:p>
    <w:p>
      <w:r>
        <w:t>Die Beteiligten haben in Paragraf 8 der Notariellen Vereinbarung ausdrücklich vereinbart, dass der öffentlich-rechtliche Versorgungsausgleich von der Vereinbarung nicht erfasst wird. Diese ausdrückliche Aussparung schließt eine Berücksichtigung der Vermögensverhältnisse, die durch die Notarvereinbarung pauschal ausgeglichen wurden (385.000 EUR), im VA aus. Eine inhaltliche Erstreckung der Vereinbarung kommt nicht in Betracht.</w:t>
      </w:r>
    </w:p>
    <w:p>
      <w:r/>
    </w:p>
    <w:p>
      <w:r>
        <w:t>6. Anwartschaften des Antragstellers ausreichend</w:t>
      </w:r>
    </w:p>
    <w:p>
      <w:r>
        <w:t>Auch nach vollständiger Durchführung des VA verbleiben dem Antragsteller eine Bayerische-Ärzteversorgungs-Rente von rund 2.063 EUR monatlich, eine geringe DRV-Rente sowie Praxiserträge und ein Praxis-Verkaufserlös von voraussichtlich 350.000 bis 450.000 EUR. Die Existenzgrundlage des Antragstellers ist damit nicht gefährdet.</w:t>
      </w:r>
    </w:p>
    <w:p>
      <w:r/>
    </w:p>
    <w:p>
      <w:r>
        <w:t>7. Zusammenfassung</w:t>
      </w:r>
    </w:p>
    <w:p>
      <w:r>
        <w:t>Eine grobe Unbilligkeit i. S. d. Paragraf 27 VersAusglG liegt nicht vor. Der Halbteilungsgrundsatz ist zu wahren. Die Beschwerde ist zurückzuweisen.</w:t>
      </w:r>
    </w:p>
    <w:p>
      <w:r/>
    </w:p>
    <w:p>
      <w:r>
        <w:t>Mit freundlichen kollegialen Grüßen</w:t>
      </w:r>
    </w:p>
    <w:p>
      <w:r/>
    </w:p>
    <w:p>
      <w:r>
        <w:t>Helene Söll-Rödelsteiner</w:t>
      </w:r>
    </w:p>
    <w:p>
      <w:r>
        <w:t>Rechtsanwältin, Fachanwältin für Familienrecht</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