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WOHNRAUMMIETVERTRAG</w:t>
      </w:r>
    </w:p>
    <w:p>
      <w:pPr>
        <w:jc w:val="center"/>
      </w:pPr>
      <w:r>
        <w:rPr>
          <w:b/>
        </w:rPr>
        <w:t>Wohnung Nr. 9, Eppendorfer Mühlenbogen 16 / Heilwigbogen 4, 20249 Hamburg</w:t>
      </w:r>
    </w:p>
    <w:tbl>
      <w:tblPr>
        <w:tblStyle w:val="TableGrid"/>
        <w:tblW w:type="auto" w:w="0"/>
        <w:tblLook w:firstColumn="1" w:firstRow="1" w:lastColumn="0" w:lastRow="0" w:noHBand="0" w:noVBand="1" w:val="04A0"/>
      </w:tblPr>
      <w:tblGrid>
        <w:gridCol w:w="4762"/>
        <w:gridCol w:w="4762"/>
      </w:tblGrid>
      <w:tr>
        <w:tc>
          <w:tcPr>
            <w:tcW w:type="dxa" w:w="4762"/>
            <w:vAlign w:val="center"/>
            <w:shd w:fill="D9EAF7"/>
          </w:tcPr>
          <w:p>
            <w:r/>
            <w:r>
              <w:rPr>
                <w:rFonts w:ascii="Aptos" w:hAnsi="Aptos"/>
                <w:b/>
                <w:sz w:val="18"/>
              </w:rPr>
              <w:t>Vermieter</w:t>
            </w:r>
          </w:p>
        </w:tc>
        <w:tc>
          <w:tcPr>
            <w:tcW w:type="dxa" w:w="4762"/>
            <w:vAlign w:val="center"/>
          </w:tcPr>
          <w:p>
            <w:r/>
            <w:r>
              <w:rPr>
                <w:rFonts w:ascii="Aptos" w:hAnsi="Aptos"/>
                <w:b w:val="0"/>
                <w:sz w:val="18"/>
              </w:rPr>
              <w:t>Erbengemeinschaft nach Jonas R. Albrecht, bestehend aus Heinrich J. Albrecht, Holtenauer Straße 88, 24105 Kiel, und Sofie Albrecht-Wegener, Klosterstern 16, 20149 Hamburg</w:t>
            </w:r>
          </w:p>
        </w:tc>
      </w:tr>
      <w:tr>
        <w:tc>
          <w:tcPr>
            <w:tcW w:type="dxa" w:w="4762"/>
            <w:vAlign w:val="center"/>
            <w:shd w:fill="D9EAF7"/>
          </w:tcPr>
          <w:p>
            <w:r/>
            <w:r>
              <w:rPr>
                <w:rFonts w:ascii="Aptos" w:hAnsi="Aptos"/>
                <w:b/>
                <w:sz w:val="18"/>
              </w:rPr>
              <w:t>Mieter</w:t>
            </w:r>
          </w:p>
        </w:tc>
        <w:tc>
          <w:tcPr>
            <w:tcW w:type="dxa" w:w="4762"/>
            <w:vAlign w:val="center"/>
          </w:tcPr>
          <w:p>
            <w:r/>
            <w:r>
              <w:rPr>
                <w:rFonts w:ascii="Aptos" w:hAnsi="Aptos"/>
                <w:b w:val="0"/>
                <w:sz w:val="18"/>
              </w:rPr>
              <w:t>Lukas Sommer, Beim Schlump 42, 20144 Hamburg</w:t>
            </w:r>
          </w:p>
        </w:tc>
      </w:tr>
    </w:tbl>
    <w:p>
      <w:pPr>
        <w:spacing w:before="180" w:after="60"/>
      </w:pPr>
      <w:r>
        <w:rPr>
          <w:b/>
          <w:color w:val="1F4E79"/>
          <w:sz w:val="21"/>
        </w:rPr>
        <w:t>1. Mieträume und Übergabe</w:t>
      </w:r>
    </w:p>
    <w:p>
      <w:pPr>
        <w:spacing w:after="80" w:line="252" w:lineRule="auto"/>
        <w:jc w:val="both"/>
      </w:pPr>
      <w:r>
        <w:t>Vermietet wird die im Dachgeschoss gelegene Wohnung Nr. 9 mit drei Zimmern, einem halben Zimmer, Küche, Bad, Flur und Abstellnische. Die Wohnfläche beträgt nach der Teilungserklärung ungefähr 95,30 Quadratmeter. Mitvermietet werden der Kellerraum Nr. K 9 und die Mitbenutzung des Fahrradkellers. Eine Dachterrasse gehört nicht zum Mietgegenstand.</w:t>
      </w:r>
    </w:p>
    <w:p>
      <w:pPr>
        <w:spacing w:after="80" w:line="252" w:lineRule="auto"/>
        <w:jc w:val="both"/>
      </w:pPr>
      <w:r>
        <w:t>Die Übergabe erfolgt am 29. Oktober 2021 um 15:30 Uhr durch Sofie Albrecht-Wegener. Mietbeginn ist der 1. November 2021. Der Zustand, die Zählerstände und die übergebenen Schlüssel werden in einem gesonderten Übergabeprotokoll festgehalten. Die Wohnung wird in renovierungsbedürftigem Zustand übergeben; sichtbare Gebrauchsspuren und die noch nicht angeschlossenen Heizkörper im vorderen Zimmer sind im Protokoll einzeln aufzunehmen.</w:t>
      </w:r>
    </w:p>
    <w:p>
      <w:pPr>
        <w:spacing w:before="180" w:after="60"/>
      </w:pPr>
      <w:r>
        <w:rPr>
          <w:b/>
          <w:color w:val="1F4E79"/>
          <w:sz w:val="21"/>
        </w:rPr>
        <w:t>2. Vertragszweck und Nutzung</w:t>
      </w:r>
    </w:p>
    <w:p>
      <w:pPr>
        <w:spacing w:after="80" w:line="252" w:lineRule="auto"/>
        <w:jc w:val="both"/>
      </w:pPr>
      <w:r>
        <w:t>Die Räume dürfen ausschließlich zu Wohnzwecken genutzt werden. Eine gewerbliche oder freiberufliche Nutzung, die nach außen in Erscheinung tritt, Kundenverkehr auslöst oder zusätzliche Beschilderung am Haus erfordert, bedarf der vorherigen schriftlichen Zustimmung beider Vermieter. Die Aufnahme weiterer Personen in den Haushalt ist den Vermietern unter Angabe von Namen und Einzugsdatum mitzuteilen; gesetzliche Ansprüche des Mieters bleiben unberührt.</w:t>
      </w:r>
    </w:p>
    <w:p>
      <w:pPr>
        <w:spacing w:after="80" w:line="252" w:lineRule="auto"/>
        <w:jc w:val="both"/>
      </w:pPr>
      <w:r>
        <w:t>Der Mieter darf ein Arbeitszimmer für gelegentliche Büroarbeiten ohne Kundenverkehr nutzen. Firmenschilder, Warenlager, regelmäßige Abholungen und die Überlassung einzelner Räume an Dritte sind ohne gesonderte Vereinbarung nicht gestattet.</w:t>
      </w:r>
    </w:p>
    <w:p>
      <w:pPr>
        <w:spacing w:before="180" w:after="60"/>
      </w:pPr>
      <w:r>
        <w:rPr>
          <w:b/>
          <w:color w:val="1F4E79"/>
          <w:sz w:val="21"/>
        </w:rPr>
        <w:t>3. Miete, Renovierungsgutschrift und Vorauszahlungen</w:t>
      </w:r>
    </w:p>
    <w:tbl>
      <w:tblPr>
        <w:tblStyle w:val="TableGrid"/>
        <w:tblW w:type="auto" w:w="0"/>
        <w:tblLook w:firstColumn="1" w:firstRow="1" w:lastColumn="0" w:lastRow="0" w:noHBand="0" w:noVBand="1" w:val="04A0"/>
      </w:tblPr>
      <w:tblGrid>
        <w:gridCol w:w="2381"/>
        <w:gridCol w:w="2381"/>
        <w:gridCol w:w="2381"/>
        <w:gridCol w:w="2381"/>
      </w:tblGrid>
      <w:tr>
        <w:tc>
          <w:tcPr>
            <w:tcW w:type="dxa" w:w="2381"/>
            <w:vAlign w:val="center"/>
            <w:shd w:fill="D9EAF7"/>
          </w:tcPr>
          <w:p>
            <w:r/>
            <w:r>
              <w:rPr>
                <w:rFonts w:ascii="Aptos" w:hAnsi="Aptos"/>
                <w:b/>
                <w:sz w:val="18"/>
              </w:rPr>
              <w:t>Zeitraum</w:t>
            </w:r>
          </w:p>
        </w:tc>
        <w:tc>
          <w:tcPr>
            <w:tcW w:type="dxa" w:w="2381"/>
            <w:vAlign w:val="center"/>
            <w:shd w:fill="D9EAF7"/>
          </w:tcPr>
          <w:p>
            <w:r/>
            <w:r>
              <w:rPr>
                <w:rFonts w:ascii="Aptos" w:hAnsi="Aptos"/>
                <w:b/>
                <w:sz w:val="18"/>
              </w:rPr>
              <w:t>Nettokaltmiete</w:t>
            </w:r>
          </w:p>
        </w:tc>
        <w:tc>
          <w:tcPr>
            <w:tcW w:type="dxa" w:w="2381"/>
            <w:vAlign w:val="center"/>
            <w:shd w:fill="D9EAF7"/>
          </w:tcPr>
          <w:p>
            <w:r/>
            <w:r>
              <w:rPr>
                <w:rFonts w:ascii="Aptos" w:hAnsi="Aptos"/>
                <w:b/>
                <w:sz w:val="18"/>
              </w:rPr>
              <w:t>Betriebskosten</w:t>
            </w:r>
          </w:p>
        </w:tc>
        <w:tc>
          <w:tcPr>
            <w:tcW w:type="dxa" w:w="2381"/>
            <w:vAlign w:val="center"/>
            <w:shd w:fill="D9EAF7"/>
          </w:tcPr>
          <w:p>
            <w:r/>
            <w:r>
              <w:rPr>
                <w:rFonts w:ascii="Aptos" w:hAnsi="Aptos"/>
                <w:b/>
                <w:sz w:val="18"/>
              </w:rPr>
              <w:t>Monatlicher Zahlbetrag</w:t>
            </w:r>
          </w:p>
        </w:tc>
      </w:tr>
      <w:tr>
        <w:tc>
          <w:tcPr>
            <w:tcW w:type="dxa" w:w="2381"/>
            <w:vAlign w:val="center"/>
          </w:tcPr>
          <w:p>
            <w:r/>
            <w:r>
              <w:rPr>
                <w:rFonts w:ascii="Aptos" w:hAnsi="Aptos"/>
                <w:b w:val="0"/>
                <w:sz w:val="18"/>
              </w:rPr>
              <w:t>01.11.2021 bis 30.04.2023</w:t>
            </w:r>
          </w:p>
        </w:tc>
        <w:tc>
          <w:tcPr>
            <w:tcW w:type="dxa" w:w="2381"/>
            <w:vAlign w:val="center"/>
          </w:tcPr>
          <w:p>
            <w:r/>
            <w:r>
              <w:rPr>
                <w:rFonts w:ascii="Aptos" w:hAnsi="Aptos"/>
                <w:b w:val="0"/>
                <w:sz w:val="18"/>
              </w:rPr>
              <w:t>850,00 EUR</w:t>
            </w:r>
          </w:p>
        </w:tc>
        <w:tc>
          <w:tcPr>
            <w:tcW w:type="dxa" w:w="2381"/>
            <w:vAlign w:val="center"/>
          </w:tcPr>
          <w:p>
            <w:r/>
            <w:r>
              <w:rPr>
                <w:rFonts w:ascii="Aptos" w:hAnsi="Aptos"/>
                <w:b w:val="0"/>
                <w:sz w:val="18"/>
              </w:rPr>
              <w:t>230,00 EUR</w:t>
            </w:r>
          </w:p>
        </w:tc>
        <w:tc>
          <w:tcPr>
            <w:tcW w:type="dxa" w:w="2381"/>
            <w:vAlign w:val="center"/>
          </w:tcPr>
          <w:p>
            <w:r/>
            <w:r>
              <w:rPr>
                <w:rFonts w:ascii="Aptos" w:hAnsi="Aptos"/>
                <w:b w:val="0"/>
                <w:sz w:val="18"/>
              </w:rPr>
              <w:t>1080,00 EUR</w:t>
            </w:r>
          </w:p>
        </w:tc>
      </w:tr>
      <w:tr>
        <w:tc>
          <w:tcPr>
            <w:tcW w:type="dxa" w:w="2381"/>
            <w:vAlign w:val="center"/>
          </w:tcPr>
          <w:p>
            <w:r/>
            <w:r>
              <w:rPr>
                <w:rFonts w:ascii="Aptos" w:hAnsi="Aptos"/>
                <w:b w:val="0"/>
                <w:sz w:val="18"/>
              </w:rPr>
              <w:t>ab 01.05.2023</w:t>
            </w:r>
          </w:p>
        </w:tc>
        <w:tc>
          <w:tcPr>
            <w:tcW w:type="dxa" w:w="2381"/>
            <w:vAlign w:val="center"/>
          </w:tcPr>
          <w:p>
            <w:r/>
            <w:r>
              <w:rPr>
                <w:rFonts w:ascii="Aptos" w:hAnsi="Aptos"/>
                <w:b w:val="0"/>
                <w:sz w:val="18"/>
              </w:rPr>
              <w:t>1320,00 EUR</w:t>
            </w:r>
          </w:p>
        </w:tc>
        <w:tc>
          <w:tcPr>
            <w:tcW w:type="dxa" w:w="2381"/>
            <w:vAlign w:val="center"/>
          </w:tcPr>
          <w:p>
            <w:r/>
            <w:r>
              <w:rPr>
                <w:rFonts w:ascii="Aptos" w:hAnsi="Aptos"/>
                <w:b w:val="0"/>
                <w:sz w:val="18"/>
              </w:rPr>
              <w:t>260,00 EUR</w:t>
            </w:r>
          </w:p>
        </w:tc>
        <w:tc>
          <w:tcPr>
            <w:tcW w:type="dxa" w:w="2381"/>
            <w:vAlign w:val="center"/>
          </w:tcPr>
          <w:p>
            <w:r/>
            <w:r>
              <w:rPr>
                <w:rFonts w:ascii="Aptos" w:hAnsi="Aptos"/>
                <w:b w:val="0"/>
                <w:sz w:val="18"/>
              </w:rPr>
              <w:t>1580,00 EUR</w:t>
            </w:r>
          </w:p>
        </w:tc>
      </w:tr>
    </w:tbl>
    <w:p>
      <w:pPr>
        <w:spacing w:after="80" w:line="252" w:lineRule="auto"/>
        <w:jc w:val="both"/>
      </w:pPr>
      <w:r>
        <w:t>Die vertragliche Nettokaltmiete beträgt 1320,00 EUR monatlich. Für die ersten 18 Monate wird wegen der vom Mieter übernommenen Maler-, Boden- und Anschlussarbeiten eine monatliche Renovierungsgutschrift von 470,00 EUR gewährt. Die Gutschrift endet ohne weitere Erklärung am 30. April 2023. Materialkosten trägt der Mieter; Veränderungen an Leitungen, tragenden Teilen und der Elektroanlage sind hiervon nicht umfasst.</w:t>
      </w:r>
    </w:p>
    <w:p>
      <w:pPr>
        <w:spacing w:after="80" w:line="252" w:lineRule="auto"/>
        <w:jc w:val="both"/>
      </w:pPr>
      <w:r>
        <w:t>Die Miete ist spätestens am dritten Werktag eines Monats auf das Mietkonto IBAN DE31 2005 0550 1044 7812 09 bei der Hamburger Sparkasse, Kontoinhaberin Erbengemeinschaft Albrecht, zu zahlen. Die Betriebskostenvorauszahlung darf nach einer Abrechnung in Textform angepasst werden.</w:t>
      </w:r>
    </w:p>
    <w:p>
      <w:pPr>
        <w:spacing w:before="180" w:after="60"/>
      </w:pPr>
      <w:r>
        <w:rPr>
          <w:b/>
          <w:color w:val="1F4E79"/>
          <w:sz w:val="21"/>
        </w:rPr>
        <w:t>4. Betriebskosten</w:t>
      </w:r>
    </w:p>
    <w:p>
      <w:pPr>
        <w:spacing w:after="80" w:line="252" w:lineRule="auto"/>
        <w:jc w:val="both"/>
      </w:pPr>
      <w:r>
        <w:t>Zusätzlich zur Nettokaltmiete trägt der Mieter die umlagefähigen Betriebskosten nach der Betriebskostenverordnung. Hierzu gehören insbesondere Grundsteuer, Wasser und Entwässerung, Heizung und Warmwasser, Aufzug, Straßenreinigung, Müllbeseitigung, Gebäudereinigung, Gartenpflege, Beleuchtung, Schornsteinreinigung, Sach- und Haftpflichtversicherung, Hauswart sowie die Wartung gemeinschaftlicher technischer Einrichtungen. Verwaltungskosten und Beiträge zur Erhaltungsrücklage werden nicht umgelegt.</w:t>
      </w:r>
    </w:p>
    <w:p>
      <w:pPr>
        <w:spacing w:after="80" w:line="252" w:lineRule="auto"/>
        <w:jc w:val="both"/>
      </w:pPr>
      <w:r>
        <w:t>Abrechnungszeitraum ist das Kalenderjahr. Soweit Verbrauchswerte vorliegen, wird nach Verbrauch abgerechnet, im Übrigen nach dem in der Wohnungseigentümergemeinschaft verwendeten Schlüssel. Der Mieter erhält Einsicht in die Abrechnungsbelege nach Terminvereinbarung.</w:t>
      </w:r>
    </w:p>
    <w:p>
      <w:pPr>
        <w:spacing w:before="180" w:after="60"/>
      </w:pPr>
      <w:r>
        <w:rPr>
          <w:b/>
          <w:color w:val="1F4E79"/>
          <w:sz w:val="21"/>
        </w:rPr>
        <w:t>5. Mietsicherheit</w:t>
      </w:r>
    </w:p>
    <w:p>
      <w:pPr>
        <w:spacing w:after="80" w:line="252" w:lineRule="auto"/>
        <w:jc w:val="both"/>
      </w:pPr>
      <w:r>
        <w:t>Der Mieter leistet eine Mietsicherheit von 3960,00 EUR. Er ist berechtigt, die Sicherheit in drei gleichen monatlichen Teilzahlungen zu erbringen; die erste Rate ist zu Mietbeginn fällig. Die Vermieter legen den Betrag getrennt von ihrem Vermögen zu dem für Spareinlagen mit dreimonatiger Kündigungsfrist üblichen Zinssatz an. Der Mieter erhält nach vollständigem Eingang eine schriftliche Bestätigung.</w:t>
      </w:r>
    </w:p>
    <w:p>
      <w:pPr>
        <w:spacing w:before="180" w:after="60"/>
      </w:pPr>
      <w:r>
        <w:rPr>
          <w:b/>
          <w:color w:val="1F4E79"/>
          <w:sz w:val="21"/>
        </w:rPr>
        <w:t>6. Instandhaltung, Veränderungen und Zutritt</w:t>
      </w:r>
    </w:p>
    <w:p>
      <w:pPr>
        <w:spacing w:after="80" w:line="252" w:lineRule="auto"/>
        <w:jc w:val="both"/>
      </w:pPr>
      <w:r>
        <w:t>Mängel und Schäden sind unverzüglich mitzuteilen. Der Mieter darf ohne vorherige Zustimmung keine baulichen Veränderungen, Leitungsarbeiten oder Eingriffe in die Dachkonstruktion vornehmen. Das Anschließen der vorhandenen Heizkörper im vorderen Zimmer ist durch einen eingetragenen Fachbetrieb zulässig; Rechnung und Inbetriebnahmeprotokoll sind den Vermietern binnen zwei Wochen nach Ausführung zu übersenden.</w:t>
      </w:r>
    </w:p>
    <w:p>
      <w:pPr>
        <w:spacing w:after="80" w:line="252" w:lineRule="auto"/>
        <w:jc w:val="both"/>
      </w:pPr>
      <w:r>
        <w:t>Bei konkretem Anlass, insbesondere zur Prüfung angezeigter Schäden, zur Ablesung von Messgeräten oder zur Vorbereitung notwendiger Arbeiten, ist nach angemessener Ankündigung Zutritt zu gewähren. Auf die beruflichen Belange des Mieters ist Rücksicht zu nehmen. Bei Gefahr im Verzug darf die Wohnung ohne vorherige Ankündigung betreten werden.</w:t>
      </w:r>
    </w:p>
    <w:p>
      <w:pPr>
        <w:spacing w:before="180" w:after="60"/>
      </w:pPr>
      <w:r>
        <w:rPr>
          <w:b/>
          <w:color w:val="1F4E79"/>
          <w:sz w:val="21"/>
        </w:rPr>
        <w:t>7. Hausordnung, Untervermietung und Schlüssel</w:t>
      </w:r>
    </w:p>
    <w:p>
      <w:pPr>
        <w:spacing w:after="80" w:line="252" w:lineRule="auto"/>
        <w:jc w:val="both"/>
      </w:pPr>
      <w:r>
        <w:t>Die als Anlage beigefügte Hausordnung ist Bestandteil des Vertrags. Untervermietung und sonstige Gebrauchsüberlassung bedürfen der vorherigen Zustimmung, soweit nicht ein gesetzlicher Anspruch besteht. Bei Übergabe werden zwei Haustürschlüssel, drei Wohnungsschlüssel, ein Kellerschlüssel und zwei Briefkastenschlüssel ausgegeben. Nachschlüssel sind bei Vertragsende vollständig zurückzugeben.</w:t>
      </w:r>
    </w:p>
    <w:p>
      <w:pPr>
        <w:spacing w:before="180" w:after="60"/>
      </w:pPr>
      <w:r>
        <w:rPr>
          <w:b/>
          <w:color w:val="1F4E79"/>
          <w:sz w:val="21"/>
        </w:rPr>
        <w:t>8. Dauer und Kündigung</w:t>
      </w:r>
    </w:p>
    <w:p>
      <w:pPr>
        <w:spacing w:after="80" w:line="252" w:lineRule="auto"/>
        <w:jc w:val="both"/>
      </w:pPr>
      <w:r>
        <w:t>Das Mietverhältnis wird auf unbestimmte Zeit geschlossen. Für ordentliche und außerordentliche Kündigungen gelten die gesetzlichen Vorschriften. Kündigungen bedürfen der gesetzlich vorgesehenen Form. Mehrere Vermieter können Erklärungen nur gemeinschaftlich oder durch einen nachgewiesen Bevollmächtigten abgeben.</w:t>
      </w:r>
    </w:p>
    <w:p>
      <w:pPr>
        <w:spacing w:before="180" w:after="60"/>
      </w:pPr>
      <w:r>
        <w:rPr>
          <w:b/>
          <w:color w:val="1F4E79"/>
          <w:sz w:val="21"/>
        </w:rPr>
        <w:t>9. Nebenabreden und Anlagen</w:t>
      </w:r>
    </w:p>
    <w:p>
      <w:pPr>
        <w:spacing w:after="80" w:line="252" w:lineRule="auto"/>
        <w:jc w:val="both"/>
      </w:pPr>
      <w:r>
        <w:t>Mündliche Nebenabreden bestehen nach übereinstimmender Erklärung der Parteien nicht. Änderungen und Ergänzungen sollen aus Beweisgründen in Textform festgehalten werden. Unwirksame Einzelbestimmungen berühren die Wirksamkeit der übrigen Vereinbarungen nicht; an ihre Stelle tritt die gesetzliche Regelung.</w:t>
      </w:r>
    </w:p>
    <w:p>
      <w:pPr>
        <w:spacing w:after="80" w:line="252" w:lineRule="auto"/>
        <w:jc w:val="both"/>
      </w:pPr>
      <w:r>
        <w:t>Anlagen: Übergabeprotokoll; Hausordnung; Grundriss der Wohnung Nr. 9; Information zur Verarbeitung der Mieterdaten; Lastschrift- und Kontoblatt für die Mietzahlungen.</w:t>
      </w:r>
    </w:p>
    <w:p/>
    <w:tbl>
      <w:tblPr>
        <w:tblStyle w:val="TableGrid"/>
        <w:tblW w:type="auto" w:w="0"/>
        <w:tblLook w:firstColumn="1" w:firstRow="1" w:lastColumn="0" w:lastRow="0" w:noHBand="0" w:noVBand="1" w:val="04A0"/>
      </w:tblPr>
      <w:tblGrid>
        <w:gridCol w:w="4762"/>
        <w:gridCol w:w="4762"/>
      </w:tblGrid>
      <w:tr>
        <w:tc>
          <w:tcPr>
            <w:tcW w:type="dxa" w:w="4762"/>
            <w:vAlign w:val="center"/>
          </w:tcPr>
          <w:p>
            <w:r/>
            <w:r>
              <w:rPr>
                <w:rFonts w:ascii="Aptos" w:hAnsi="Aptos"/>
                <w:b w:val="0"/>
                <w:sz w:val="18"/>
              </w:rPr>
              <w:t>Hamburg, 26. August 2021</w:t>
            </w:r>
          </w:p>
        </w:tc>
        <w:tc>
          <w:tcPr>
            <w:tcW w:type="dxa" w:w="4762"/>
            <w:vAlign w:val="center"/>
          </w:tcPr>
          <w:p>
            <w:r/>
            <w:r>
              <w:rPr>
                <w:rFonts w:ascii="Aptos" w:hAnsi="Aptos"/>
                <w:b w:val="0"/>
                <w:sz w:val="18"/>
              </w:rPr>
              <w:t>Hamburg, 26. August 2021</w:t>
            </w:r>
          </w:p>
        </w:tc>
      </w:tr>
      <w:tr>
        <w:tc>
          <w:tcPr>
            <w:tcW w:type="dxa" w:w="4762"/>
            <w:vAlign w:val="center"/>
          </w:tcPr>
          <w:p>
            <w:r/>
            <w:r>
              <w:rPr>
                <w:rFonts w:ascii="Aptos" w:hAnsi="Aptos"/>
                <w:b w:val="0"/>
                <w:sz w:val="18"/>
              </w:rPr>
              <w:t>Heinrich J. Albrecht / Sofie Albrecht-Wegener</w:t>
              <w:br/>
              <w:t>für die Vermieterseite</w:t>
            </w:r>
          </w:p>
        </w:tc>
        <w:tc>
          <w:tcPr>
            <w:tcW w:type="dxa" w:w="4762"/>
            <w:vAlign w:val="center"/>
          </w:tcPr>
          <w:p>
            <w:r/>
            <w:r>
              <w:rPr>
                <w:rFonts w:ascii="Aptos" w:hAnsi="Aptos"/>
                <w:b w:val="0"/>
                <w:sz w:val="18"/>
              </w:rPr>
              <w:t>Lukas Sommer</w:t>
              <w:br/>
              <w:t>Mieter</w:t>
            </w:r>
          </w:p>
        </w:tc>
      </w:tr>
    </w:tbl>
    <w:sectPr w:rsidR="00FC693F" w:rsidRPr="0006063C" w:rsidSect="00034616">
      <w:headerReference w:type="default" r:id="rId9"/>
      <w:footerReference w:type="default" r:id="rId10"/>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Eppendorfer Mühlenbogen 16 · Vertrag vom 26. August 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ERBENGEMEINSCHAFT ALBRECHT · MIETVERTRAG WE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