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28"/>
        </w:rPr>
        <w:t>PROTOKOLL DES VERSTEIGERUNGSTERMINS</w:t>
      </w:r>
    </w:p>
    <w:p>
      <w:pPr>
        <w:jc w:val="center"/>
      </w:pPr>
      <w:r>
        <w:rPr>
          <w:rFonts w:ascii="Calibri" w:hAnsi="Calibri"/>
          <w:b w:val="0"/>
          <w:i w:val="0"/>
          <w:sz w:val="22"/>
        </w:rPr>
        <w:t>Amtsgericht Hamburg, Abteilung 71 – Az.: 71 K 18/26</w:t>
      </w:r>
    </w:p>
    <w:p/>
    <w:tbl>
      <w:tblPr>
        <w:tblStyle w:val="TableGrid"/>
        <w:tblW w:type="auto" w:w="0"/>
        <w:tblLook w:firstColumn="1" w:firstRow="1" w:lastColumn="0" w:lastRow="0" w:noHBand="0" w:noVBand="1" w:val="04A0"/>
      </w:tblPr>
      <w:tblGrid>
        <w:gridCol w:w="4703"/>
        <w:gridCol w:w="4703"/>
      </w:tblGrid>
      <w:tr>
        <w:tc>
          <w:tcPr>
            <w:tcW w:type="dxa" w:w="2835"/>
            <w:shd w:val="clear" w:color="auto" w:fill="D9E1F2"/>
          </w:tcPr>
          <w:p>
            <w:pPr>
              <w:jc w:val="center"/>
            </w:pPr>
            <w:r>
              <w:rPr>
                <w:rFonts w:ascii="Calibri" w:hAnsi="Calibri"/>
                <w:b/>
                <w:i w:val="0"/>
                <w:sz w:val="20"/>
              </w:rPr>
              <w:t>Feld</w:t>
            </w:r>
          </w:p>
        </w:tc>
        <w:tc>
          <w:tcPr>
            <w:tcW w:type="dxa" w:w="6236"/>
            <w:shd w:val="clear" w:color="auto" w:fill="D9E1F2"/>
          </w:tcPr>
          <w:p>
            <w:pPr>
              <w:jc w:val="center"/>
            </w:pPr>
            <w:r>
              <w:rPr>
                <w:rFonts w:ascii="Calibri" w:hAnsi="Calibri"/>
                <w:b/>
                <w:i w:val="0"/>
                <w:sz w:val="20"/>
              </w:rPr>
              <w:t>Inhalt</w:t>
            </w:r>
          </w:p>
        </w:tc>
      </w:tr>
      <w:tr>
        <w:tc>
          <w:tcPr>
            <w:tcW w:type="dxa" w:w="2835"/>
          </w:tcPr>
          <w:p>
            <w:r>
              <w:rPr>
                <w:rFonts w:ascii="Calibri" w:hAnsi="Calibri"/>
                <w:b w:val="0"/>
                <w:i w:val="0"/>
                <w:sz w:val="20"/>
              </w:rPr>
              <w:t>Datum</w:t>
            </w:r>
          </w:p>
        </w:tc>
        <w:tc>
          <w:tcPr>
            <w:tcW w:type="dxa" w:w="6236"/>
          </w:tcPr>
          <w:p>
            <w:r>
              <w:rPr>
                <w:rFonts w:ascii="Calibri" w:hAnsi="Calibri"/>
                <w:b w:val="0"/>
                <w:i w:val="0"/>
                <w:sz w:val="20"/>
              </w:rPr>
              <w:t>16.07.2026</w:t>
            </w:r>
          </w:p>
        </w:tc>
      </w:tr>
      <w:tr>
        <w:tc>
          <w:tcPr>
            <w:tcW w:type="dxa" w:w="2835"/>
          </w:tcPr>
          <w:p>
            <w:r>
              <w:rPr>
                <w:rFonts w:ascii="Calibri" w:hAnsi="Calibri"/>
                <w:b w:val="0"/>
                <w:i w:val="0"/>
                <w:sz w:val="20"/>
              </w:rPr>
              <w:t>Uhrzeit Beginn</w:t>
            </w:r>
          </w:p>
        </w:tc>
        <w:tc>
          <w:tcPr>
            <w:tcW w:type="dxa" w:w="6236"/>
          </w:tcPr>
          <w:p>
            <w:r>
              <w:rPr>
                <w:rFonts w:ascii="Calibri" w:hAnsi="Calibri"/>
                <w:b w:val="0"/>
                <w:i w:val="0"/>
                <w:sz w:val="20"/>
              </w:rPr>
              <w:t>10:00 Uhr</w:t>
            </w:r>
          </w:p>
        </w:tc>
      </w:tr>
      <w:tr>
        <w:tc>
          <w:tcPr>
            <w:tcW w:type="dxa" w:w="2835"/>
          </w:tcPr>
          <w:p>
            <w:r>
              <w:rPr>
                <w:rFonts w:ascii="Calibri" w:hAnsi="Calibri"/>
                <w:b w:val="0"/>
                <w:i w:val="0"/>
                <w:sz w:val="20"/>
              </w:rPr>
              <w:t>Uhrzeit Ende</w:t>
            </w:r>
          </w:p>
        </w:tc>
        <w:tc>
          <w:tcPr>
            <w:tcW w:type="dxa" w:w="6236"/>
          </w:tcPr>
          <w:p>
            <w:r>
              <w:rPr>
                <w:rFonts w:ascii="Calibri" w:hAnsi="Calibri"/>
                <w:b w:val="0"/>
                <w:i w:val="0"/>
                <w:sz w:val="20"/>
              </w:rPr>
              <w:t>12:47 Uhr</w:t>
            </w:r>
          </w:p>
        </w:tc>
      </w:tr>
      <w:tr>
        <w:tc>
          <w:tcPr>
            <w:tcW w:type="dxa" w:w="2835"/>
          </w:tcPr>
          <w:p>
            <w:r>
              <w:rPr>
                <w:rFonts w:ascii="Calibri" w:hAnsi="Calibri"/>
                <w:b w:val="0"/>
                <w:i w:val="0"/>
                <w:sz w:val="20"/>
              </w:rPr>
              <w:t>Ort</w:t>
            </w:r>
          </w:p>
        </w:tc>
        <w:tc>
          <w:tcPr>
            <w:tcW w:type="dxa" w:w="6236"/>
          </w:tcPr>
          <w:p>
            <w:r>
              <w:rPr>
                <w:rFonts w:ascii="Calibri" w:hAnsi="Calibri"/>
                <w:b w:val="0"/>
                <w:i w:val="0"/>
                <w:sz w:val="20"/>
              </w:rPr>
              <w:t>Amtsgericht Hamburg, Sievekingplatz 1, Saal 214</w:t>
            </w:r>
          </w:p>
        </w:tc>
      </w:tr>
      <w:tr>
        <w:tc>
          <w:tcPr>
            <w:tcW w:type="dxa" w:w="2835"/>
          </w:tcPr>
          <w:p>
            <w:r>
              <w:rPr>
                <w:rFonts w:ascii="Calibri" w:hAnsi="Calibri"/>
                <w:b w:val="0"/>
                <w:i w:val="0"/>
                <w:sz w:val="20"/>
              </w:rPr>
              <w:t>Rechtspflegerin</w:t>
            </w:r>
          </w:p>
        </w:tc>
        <w:tc>
          <w:tcPr>
            <w:tcW w:type="dxa" w:w="6236"/>
          </w:tcPr>
          <w:p>
            <w:r>
              <w:rPr>
                <w:rFonts w:ascii="Calibri" w:hAnsi="Calibri"/>
                <w:b w:val="0"/>
                <w:i w:val="0"/>
                <w:sz w:val="20"/>
              </w:rPr>
              <w:t>Sabine Tönnies, Rechtspflegerin</w:t>
            </w:r>
          </w:p>
        </w:tc>
      </w:tr>
      <w:tr>
        <w:tc>
          <w:tcPr>
            <w:tcW w:type="dxa" w:w="2835"/>
          </w:tcPr>
          <w:p>
            <w:r>
              <w:rPr>
                <w:rFonts w:ascii="Calibri" w:hAnsi="Calibri"/>
                <w:b w:val="0"/>
                <w:i w:val="0"/>
                <w:sz w:val="20"/>
              </w:rPr>
              <w:t>Urkundsbeamtin</w:t>
            </w:r>
          </w:p>
        </w:tc>
        <w:tc>
          <w:tcPr>
            <w:tcW w:type="dxa" w:w="6236"/>
          </w:tcPr>
          <w:p>
            <w:r>
              <w:rPr>
                <w:rFonts w:ascii="Calibri" w:hAnsi="Calibri"/>
                <w:b w:val="0"/>
                <w:i w:val="0"/>
                <w:sz w:val="20"/>
              </w:rPr>
              <w:t>Petra Lüthje, Urkundsbeamtin der Geschäftsstelle</w:t>
            </w:r>
          </w:p>
        </w:tc>
      </w:tr>
      <w:tr>
        <w:tc>
          <w:tcPr>
            <w:tcW w:type="dxa" w:w="2835"/>
          </w:tcPr>
          <w:p>
            <w:r>
              <w:rPr>
                <w:rFonts w:ascii="Calibri" w:hAnsi="Calibri"/>
                <w:b w:val="0"/>
                <w:i w:val="0"/>
                <w:sz w:val="20"/>
              </w:rPr>
              <w:t>Aktenzeichen</w:t>
            </w:r>
          </w:p>
        </w:tc>
        <w:tc>
          <w:tcPr>
            <w:tcW w:type="dxa" w:w="6236"/>
          </w:tcPr>
          <w:p>
            <w:r>
              <w:rPr>
                <w:rFonts w:ascii="Calibri" w:hAnsi="Calibri"/>
                <w:b w:val="0"/>
                <w:i w:val="0"/>
                <w:sz w:val="20"/>
              </w:rPr>
              <w:t>71 K 18/26</w:t>
            </w:r>
          </w:p>
        </w:tc>
      </w:tr>
      <w:tr>
        <w:tc>
          <w:tcPr>
            <w:tcW w:type="dxa" w:w="2835"/>
          </w:tcPr>
          <w:p>
            <w:r>
              <w:rPr>
                <w:rFonts w:ascii="Calibri" w:hAnsi="Calibri"/>
                <w:b w:val="0"/>
                <w:i w:val="0"/>
                <w:sz w:val="20"/>
              </w:rPr>
              <w:t>Verfahrensart</w:t>
            </w:r>
          </w:p>
        </w:tc>
        <w:tc>
          <w:tcPr>
            <w:tcW w:type="dxa" w:w="6236"/>
          </w:tcPr>
          <w:p>
            <w:r>
              <w:rPr>
                <w:rFonts w:ascii="Calibri" w:hAnsi="Calibri"/>
                <w:b w:val="0"/>
                <w:i w:val="0"/>
                <w:sz w:val="20"/>
              </w:rPr>
              <w:t>Zwangsversteigerung im Wege der Zwangsvollstreckung (Paragraf 15 ZVG)</w:t>
            </w:r>
          </w:p>
        </w:tc>
      </w:tr>
      <w:tr>
        <w:tc>
          <w:tcPr>
            <w:tcW w:type="dxa" w:w="2835"/>
          </w:tcPr>
          <w:p>
            <w:r>
              <w:rPr>
                <w:rFonts w:ascii="Calibri" w:hAnsi="Calibri"/>
                <w:b w:val="0"/>
                <w:i w:val="0"/>
                <w:sz w:val="20"/>
              </w:rPr>
              <w:t>Objekt</w:t>
            </w:r>
          </w:p>
        </w:tc>
        <w:tc>
          <w:tcPr>
            <w:tcW w:type="dxa" w:w="6236"/>
          </w:tcPr>
          <w:p>
            <w:r>
              <w:rPr>
                <w:rFonts w:ascii="Calibri" w:hAnsi="Calibri"/>
                <w:b w:val="0"/>
                <w:i w:val="0"/>
                <w:sz w:val="20"/>
              </w:rPr>
              <w:t>WE Nr. 9, Eppendorfer Mühlenbogen 16 / Heilwigbogen 4, 20249 Hamburg</w:t>
            </w:r>
          </w:p>
        </w:tc>
      </w:tr>
      <w:tr>
        <w:tc>
          <w:tcPr>
            <w:tcW w:type="dxa" w:w="2835"/>
          </w:tcPr>
          <w:p>
            <w:r>
              <w:rPr>
                <w:rFonts w:ascii="Calibri" w:hAnsi="Calibri"/>
                <w:b w:val="0"/>
                <w:i w:val="0"/>
                <w:sz w:val="20"/>
              </w:rPr>
              <w:t>Grundbuch</w:t>
            </w:r>
          </w:p>
        </w:tc>
        <w:tc>
          <w:tcPr>
            <w:tcW w:type="dxa" w:w="6236"/>
          </w:tcPr>
          <w:p>
            <w:r>
              <w:rPr>
                <w:rFonts w:ascii="Calibri" w:hAnsi="Calibri"/>
                <w:b w:val="0"/>
                <w:i w:val="0"/>
                <w:sz w:val="20"/>
              </w:rPr>
              <w:t>Eppendorf Blatt 48291, 39,20/1.000 MEA</w:t>
            </w:r>
          </w:p>
        </w:tc>
      </w:tr>
    </w:tbl>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I. Anwesende und Legitimation</w:t>
      </w:r>
    </w:p>
    <w:p>
      <w:pPr>
        <w:spacing w:after="120"/>
      </w:pPr>
      <w:r>
        <w:rPr>
          <w:rFonts w:ascii="Calibri" w:hAnsi="Calibri"/>
          <w:b w:val="0"/>
          <w:i w:val="0"/>
          <w:sz w:val="22"/>
        </w:rPr>
        <w:t>Erschienen sind folgende Personen (Legitimation geprüft):</w:t>
      </w:r>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D9E1F2"/>
          </w:tcPr>
          <w:p>
            <w:pPr>
              <w:jc w:val="center"/>
            </w:pPr>
            <w:r>
              <w:rPr>
                <w:rFonts w:ascii="Calibri" w:hAnsi="Calibri"/>
                <w:b/>
                <w:i w:val="0"/>
                <w:sz w:val="20"/>
              </w:rPr>
              <w:t>Nr.</w:t>
            </w:r>
          </w:p>
        </w:tc>
        <w:tc>
          <w:tcPr>
            <w:tcW w:type="dxa" w:w="3118"/>
            <w:shd w:val="clear" w:color="auto" w:fill="D9E1F2"/>
          </w:tcPr>
          <w:p>
            <w:pPr>
              <w:jc w:val="center"/>
            </w:pPr>
            <w:r>
              <w:rPr>
                <w:rFonts w:ascii="Calibri" w:hAnsi="Calibri"/>
                <w:b/>
                <w:i w:val="0"/>
                <w:sz w:val="20"/>
              </w:rPr>
              <w:t>Name / Bezeichnung</w:t>
            </w:r>
          </w:p>
        </w:tc>
        <w:tc>
          <w:tcPr>
            <w:tcW w:type="dxa" w:w="2268"/>
            <w:shd w:val="clear" w:color="auto" w:fill="D9E1F2"/>
          </w:tcPr>
          <w:p>
            <w:pPr>
              <w:jc w:val="center"/>
            </w:pPr>
            <w:r>
              <w:rPr>
                <w:rFonts w:ascii="Calibri" w:hAnsi="Calibri"/>
                <w:b/>
                <w:i w:val="0"/>
                <w:sz w:val="20"/>
              </w:rPr>
              <w:t>Eigenschaft</w:t>
            </w:r>
          </w:p>
        </w:tc>
        <w:tc>
          <w:tcPr>
            <w:tcW w:type="dxa" w:w="1984"/>
            <w:shd w:val="clear" w:color="auto" w:fill="D9E1F2"/>
          </w:tcPr>
          <w:p>
            <w:pPr>
              <w:jc w:val="center"/>
            </w:pPr>
            <w:r>
              <w:rPr>
                <w:rFonts w:ascii="Calibri" w:hAnsi="Calibri"/>
                <w:b/>
                <w:i w:val="0"/>
                <w:sz w:val="20"/>
              </w:rPr>
              <w:t>Legitimation</w:t>
            </w:r>
          </w:p>
        </w:tc>
      </w:tr>
      <w:tr>
        <w:tc>
          <w:tcPr>
            <w:tcW w:type="dxa" w:w="567"/>
          </w:tcPr>
          <w:p>
            <w:r>
              <w:rPr>
                <w:rFonts w:ascii="Calibri" w:hAnsi="Calibri"/>
                <w:b w:val="0"/>
                <w:i w:val="0"/>
                <w:sz w:val="20"/>
              </w:rPr>
              <w:t>1</w:t>
            </w:r>
          </w:p>
        </w:tc>
        <w:tc>
          <w:tcPr>
            <w:tcW w:type="dxa" w:w="3118"/>
          </w:tcPr>
          <w:p>
            <w:r>
              <w:rPr>
                <w:rFonts w:ascii="Calibri" w:hAnsi="Calibri"/>
                <w:b w:val="0"/>
                <w:i w:val="0"/>
                <w:sz w:val="20"/>
              </w:rPr>
              <w:t>Nordelbe Kreditbank AG, vertr. d. RA Gregor Sülfeld</w:t>
            </w:r>
          </w:p>
        </w:tc>
        <w:tc>
          <w:tcPr>
            <w:tcW w:type="dxa" w:w="2268"/>
          </w:tcPr>
          <w:p>
            <w:r>
              <w:rPr>
                <w:rFonts w:ascii="Calibri" w:hAnsi="Calibri"/>
                <w:b w:val="0"/>
                <w:i w:val="0"/>
                <w:sz w:val="20"/>
              </w:rPr>
              <w:t>Betreibende Gläubigerin</w:t>
            </w:r>
          </w:p>
        </w:tc>
        <w:tc>
          <w:tcPr>
            <w:tcW w:type="dxa" w:w="1984"/>
          </w:tcPr>
          <w:p>
            <w:r>
              <w:rPr>
                <w:rFonts w:ascii="Calibri" w:hAnsi="Calibri"/>
                <w:b w:val="0"/>
                <w:i w:val="0"/>
                <w:sz w:val="20"/>
              </w:rPr>
              <w:t>Vollmacht + HR-Auszug</w:t>
            </w:r>
          </w:p>
        </w:tc>
      </w:tr>
      <w:tr>
        <w:tc>
          <w:tcPr>
            <w:tcW w:type="dxa" w:w="567"/>
          </w:tcPr>
          <w:p>
            <w:r>
              <w:rPr>
                <w:rFonts w:ascii="Calibri" w:hAnsi="Calibri"/>
                <w:b w:val="0"/>
                <w:i w:val="0"/>
                <w:sz w:val="20"/>
              </w:rPr>
              <w:t>2</w:t>
            </w:r>
          </w:p>
        </w:tc>
        <w:tc>
          <w:tcPr>
            <w:tcW w:type="dxa" w:w="3118"/>
          </w:tcPr>
          <w:p>
            <w:r>
              <w:rPr>
                <w:rFonts w:ascii="Calibri" w:hAnsi="Calibri"/>
                <w:b w:val="0"/>
                <w:i w:val="0"/>
                <w:sz w:val="20"/>
              </w:rPr>
              <w:t>Heinrich J. Albrecht</w:t>
            </w:r>
          </w:p>
        </w:tc>
        <w:tc>
          <w:tcPr>
            <w:tcW w:type="dxa" w:w="2268"/>
          </w:tcPr>
          <w:p>
            <w:r>
              <w:rPr>
                <w:rFonts w:ascii="Calibri" w:hAnsi="Calibri"/>
                <w:b w:val="0"/>
                <w:i w:val="0"/>
                <w:sz w:val="20"/>
              </w:rPr>
              <w:t>Schuldner / Miterbe 1</w:t>
            </w:r>
          </w:p>
        </w:tc>
        <w:tc>
          <w:tcPr>
            <w:tcW w:type="dxa" w:w="1984"/>
          </w:tcPr>
          <w:p>
            <w:r>
              <w:rPr>
                <w:rFonts w:ascii="Calibri" w:hAnsi="Calibri"/>
                <w:b w:val="0"/>
                <w:i w:val="0"/>
                <w:sz w:val="20"/>
              </w:rPr>
              <w:t>Personalausweis</w:t>
            </w:r>
          </w:p>
        </w:tc>
      </w:tr>
      <w:tr>
        <w:tc>
          <w:tcPr>
            <w:tcW w:type="dxa" w:w="567"/>
          </w:tcPr>
          <w:p>
            <w:r>
              <w:rPr>
                <w:rFonts w:ascii="Calibri" w:hAnsi="Calibri"/>
                <w:b w:val="0"/>
                <w:i w:val="0"/>
                <w:sz w:val="20"/>
              </w:rPr>
              <w:t>3</w:t>
            </w:r>
          </w:p>
        </w:tc>
        <w:tc>
          <w:tcPr>
            <w:tcW w:type="dxa" w:w="3118"/>
          </w:tcPr>
          <w:p>
            <w:r>
              <w:rPr>
                <w:rFonts w:ascii="Calibri" w:hAnsi="Calibri"/>
                <w:b w:val="0"/>
                <w:i w:val="0"/>
                <w:sz w:val="20"/>
              </w:rPr>
              <w:t>Sofie Albrecht-Wegener, vertr. d. RAin Dr. Claudia Mester</w:t>
            </w:r>
          </w:p>
        </w:tc>
        <w:tc>
          <w:tcPr>
            <w:tcW w:type="dxa" w:w="2268"/>
          </w:tcPr>
          <w:p>
            <w:r>
              <w:rPr>
                <w:rFonts w:ascii="Calibri" w:hAnsi="Calibri"/>
                <w:b w:val="0"/>
                <w:i w:val="0"/>
                <w:sz w:val="20"/>
              </w:rPr>
              <w:t>Schuldnerin / Miterbin 2</w:t>
            </w:r>
          </w:p>
        </w:tc>
        <w:tc>
          <w:tcPr>
            <w:tcW w:type="dxa" w:w="1984"/>
          </w:tcPr>
          <w:p>
            <w:r>
              <w:rPr>
                <w:rFonts w:ascii="Calibri" w:hAnsi="Calibri"/>
                <w:b w:val="0"/>
                <w:i w:val="0"/>
                <w:sz w:val="20"/>
              </w:rPr>
              <w:t>Vollmacht + PA</w:t>
            </w:r>
          </w:p>
        </w:tc>
      </w:tr>
      <w:tr>
        <w:tc>
          <w:tcPr>
            <w:tcW w:type="dxa" w:w="567"/>
          </w:tcPr>
          <w:p>
            <w:r>
              <w:rPr>
                <w:rFonts w:ascii="Calibri" w:hAnsi="Calibri"/>
                <w:b w:val="0"/>
                <w:i w:val="0"/>
                <w:sz w:val="20"/>
              </w:rPr>
              <w:t>4</w:t>
            </w:r>
          </w:p>
        </w:tc>
        <w:tc>
          <w:tcPr>
            <w:tcW w:type="dxa" w:w="3118"/>
          </w:tcPr>
          <w:p>
            <w:r>
              <w:rPr>
                <w:rFonts w:ascii="Calibri" w:hAnsi="Calibri"/>
                <w:b w:val="0"/>
                <w:i w:val="0"/>
                <w:sz w:val="20"/>
              </w:rPr>
              <w:t>Nordhafen Immobilien UG, vertr. d. Geschäftsführer Paul Körner</w:t>
            </w:r>
          </w:p>
        </w:tc>
        <w:tc>
          <w:tcPr>
            <w:tcW w:type="dxa" w:w="2268"/>
          </w:tcPr>
          <w:p>
            <w:r>
              <w:rPr>
                <w:rFonts w:ascii="Calibri" w:hAnsi="Calibri"/>
                <w:b w:val="0"/>
                <w:i w:val="0"/>
                <w:sz w:val="20"/>
              </w:rPr>
              <w:t>Bieterin</w:t>
            </w:r>
          </w:p>
        </w:tc>
        <w:tc>
          <w:tcPr>
            <w:tcW w:type="dxa" w:w="1984"/>
          </w:tcPr>
          <w:p>
            <w:r>
              <w:rPr>
                <w:rFonts w:ascii="Calibri" w:hAnsi="Calibri"/>
                <w:b w:val="0"/>
                <w:i w:val="0"/>
                <w:sz w:val="20"/>
              </w:rPr>
              <w:t>Vollmacht + HR-Auszug</w:t>
            </w:r>
          </w:p>
        </w:tc>
      </w:tr>
      <w:tr>
        <w:tc>
          <w:tcPr>
            <w:tcW w:type="dxa" w:w="567"/>
          </w:tcPr>
          <w:p>
            <w:r>
              <w:rPr>
                <w:rFonts w:ascii="Calibri" w:hAnsi="Calibri"/>
                <w:b w:val="0"/>
                <w:i w:val="0"/>
                <w:sz w:val="20"/>
              </w:rPr>
              <w:t>5</w:t>
            </w:r>
          </w:p>
        </w:tc>
        <w:tc>
          <w:tcPr>
            <w:tcW w:type="dxa" w:w="3118"/>
          </w:tcPr>
          <w:p>
            <w:r>
              <w:rPr>
                <w:rFonts w:ascii="Calibri" w:hAnsi="Calibri"/>
                <w:b w:val="0"/>
                <w:i w:val="0"/>
                <w:sz w:val="20"/>
              </w:rPr>
              <w:t>Elke Sonnenberg</w:t>
            </w:r>
          </w:p>
        </w:tc>
        <w:tc>
          <w:tcPr>
            <w:tcW w:type="dxa" w:w="2268"/>
          </w:tcPr>
          <w:p>
            <w:r>
              <w:rPr>
                <w:rFonts w:ascii="Calibri" w:hAnsi="Calibri"/>
                <w:b w:val="0"/>
                <w:i w:val="0"/>
                <w:sz w:val="20"/>
              </w:rPr>
              <w:t>Bieterin (privat)</w:t>
            </w:r>
          </w:p>
        </w:tc>
        <w:tc>
          <w:tcPr>
            <w:tcW w:type="dxa" w:w="1984"/>
          </w:tcPr>
          <w:p>
            <w:r>
              <w:rPr>
                <w:rFonts w:ascii="Calibri" w:hAnsi="Calibri"/>
                <w:b w:val="0"/>
                <w:i w:val="0"/>
                <w:sz w:val="20"/>
              </w:rPr>
              <w:t>Personalausweis</w:t>
            </w:r>
          </w:p>
        </w:tc>
      </w:tr>
      <w:tr>
        <w:tc>
          <w:tcPr>
            <w:tcW w:type="dxa" w:w="567"/>
          </w:tcPr>
          <w:p>
            <w:r>
              <w:rPr>
                <w:rFonts w:ascii="Calibri" w:hAnsi="Calibri"/>
                <w:b w:val="0"/>
                <w:i w:val="0"/>
                <w:sz w:val="20"/>
              </w:rPr>
              <w:t>6</w:t>
            </w:r>
          </w:p>
        </w:tc>
        <w:tc>
          <w:tcPr>
            <w:tcW w:type="dxa" w:w="3118"/>
          </w:tcPr>
          <w:p>
            <w:r>
              <w:rPr>
                <w:rFonts w:ascii="Calibri" w:hAnsi="Calibri"/>
                <w:b w:val="0"/>
                <w:i w:val="0"/>
                <w:sz w:val="20"/>
              </w:rPr>
              <w:t>BH Capital GmbH &amp; Co. KG, vertr. d. RA Dr. Kai Brehmer</w:t>
            </w:r>
          </w:p>
        </w:tc>
        <w:tc>
          <w:tcPr>
            <w:tcW w:type="dxa" w:w="2268"/>
          </w:tcPr>
          <w:p>
            <w:r>
              <w:rPr>
                <w:rFonts w:ascii="Calibri" w:hAnsi="Calibri"/>
                <w:b w:val="0"/>
                <w:i w:val="0"/>
                <w:sz w:val="20"/>
              </w:rPr>
              <w:t>Bieter</w:t>
            </w:r>
          </w:p>
        </w:tc>
        <w:tc>
          <w:tcPr>
            <w:tcW w:type="dxa" w:w="1984"/>
          </w:tcPr>
          <w:p>
            <w:r>
              <w:rPr>
                <w:rFonts w:ascii="Calibri" w:hAnsi="Calibri"/>
                <w:b w:val="0"/>
                <w:i w:val="0"/>
                <w:sz w:val="20"/>
              </w:rPr>
              <w:t>Vollmacht + HR-Auszug + PoA</w:t>
            </w:r>
          </w:p>
        </w:tc>
      </w:tr>
    </w:tbl>
    <w:p/>
    <w:p>
      <w:pPr>
        <w:spacing w:after="120"/>
      </w:pPr>
      <w:r>
        <w:rPr>
          <w:rFonts w:ascii="Calibri" w:hAnsi="Calibri"/>
          <w:b w:val="0"/>
          <w:i w:val="0"/>
          <w:sz w:val="22"/>
        </w:rPr>
        <w:t>Der Mieter L. Sommer ist nicht erschienen.</w:t>
      </w:r>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II. Eröffnung und Verfahrensstand</w:t>
      </w:r>
    </w:p>
    <w:p>
      <w:pPr>
        <w:spacing w:after="120"/>
      </w:pPr>
      <w:r>
        <w:rPr>
          <w:rFonts w:ascii="Calibri" w:hAnsi="Calibri"/>
          <w:b w:val="0"/>
          <w:i w:val="0"/>
          <w:sz w:val="22"/>
        </w:rPr>
        <w:t>Die Rechtspflegerin eröffnet den Termin um 10:00 Uhr. Sie stellt fest, dass das Verfahren ordnungsgemäß eingeleitet wurde, die Terminsbekanntmachung nach Paragraf 39 ZVG erfolgte und das Verfahren nicht aufgehoben oder einstweilen eingestellt wurde. Ein Antrag auf einstweilige Einstellung nach Paragraf 30a ZVG liegt nicht vor.</w:t>
      </w:r>
    </w:p>
    <w:p>
      <w:pPr>
        <w:spacing w:after="120"/>
      </w:pPr>
      <w:r>
        <w:rPr>
          <w:rFonts w:ascii="Calibri" w:hAnsi="Calibri"/>
          <w:b w:val="0"/>
          <w:i w:val="0"/>
          <w:sz w:val="22"/>
        </w:rPr>
        <w:t>Das Objekt wird bekannt gegeben. Die Rechtspflegerin verliest Auszüge aus dem Grundbuchinhalt und stellt die Abteilung-II- und Abteilung-III-Einträge vor.</w:t>
      </w:r>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III. Versteigerungsbedingungen (Paragraf 44 ZVG)</w:t>
      </w:r>
    </w:p>
    <w:p>
      <w:pPr>
        <w:spacing w:after="120"/>
      </w:pPr>
      <w:r>
        <w:rPr>
          <w:rFonts w:ascii="Calibri" w:hAnsi="Calibri"/>
          <w:b w:val="0"/>
          <w:i w:val="0"/>
          <w:sz w:val="22"/>
        </w:rPr>
        <w:t>Die Rechtspflegerin verliest die Versteigerungsbedingungen. Es gelten die gesetzlichen Bedingungen nach Paragrafen 44 ff. ZVG, modifiziert durch folgende Feststellungen:</w:t>
      </w:r>
    </w:p>
    <w:p>
      <w:pPr>
        <w:spacing w:before="240" w:after="80"/>
        <w:jc w:val="left"/>
      </w:pPr>
      <w:r>
        <w:rPr>
          <w:rFonts w:ascii="Calibri" w:hAnsi="Calibri"/>
          <w:b/>
          <w:i w:val="0"/>
          <w:sz w:val="22"/>
        </w:rPr>
        <w:t>1. Bestehenbleibende Rechte</w:t>
      </w:r>
    </w:p>
    <w:p>
      <w:pPr>
        <w:spacing w:after="120"/>
      </w:pPr>
      <w:r>
        <w:rPr>
          <w:rFonts w:ascii="Calibri" w:hAnsi="Calibri"/>
          <w:b w:val="0"/>
          <w:i w:val="0"/>
          <w:sz w:val="22"/>
        </w:rPr>
        <w:t>Nach Prüfung der Rangverhältnisse und der Anträge bestehen keine bestehenbleibenden Rechte im Sinne des Paragraf 52 ZVG, die dem Ersteher gegenüber wirksam bleiben und das Bargebot nicht schmälern. Die Grundschuld der Nordelbe Kreditbank AG (Abt. III Nr. 1, 520.000,00 EUR) erledigt sich durch den Zuschlag; sie wird aus der Teilungsmasse befriedigt. Die Zwangssicherungshypothek der WEG (Abt. III Nr. 2, 38.400,00 EUR) erlischt ebenfalls. Der Sanierungsvermerk (Abt. II Nr. 4) ist öffentlich-rechtlicher Natur und besteht als gesetzliche Bindung fort, begründet aber keinen Anspruch im Sinne des ZVG.</w:t>
      </w:r>
    </w:p>
    <w:p>
      <w:pPr>
        <w:spacing w:after="120"/>
      </w:pPr>
      <w:r>
        <w:rPr>
          <w:rFonts w:ascii="Calibri" w:hAnsi="Calibri"/>
          <w:b w:val="0"/>
          <w:i w:val="0"/>
          <w:sz w:val="22"/>
        </w:rPr>
        <w:t>Der Vertreter der Nordelbe Kreditbank AG nimmt diese Feststellung ohne Widerspruch zur Kenntnis. RAin Dr. Mester erklärt namens der Schuldnerin, sie nehme dies zur Kenntnis.</w:t>
      </w:r>
    </w:p>
    <w:p>
      <w:pPr>
        <w:spacing w:before="240" w:after="80"/>
        <w:jc w:val="left"/>
      </w:pPr>
      <w:r>
        <w:rPr>
          <w:rFonts w:ascii="Calibri" w:hAnsi="Calibri"/>
          <w:b/>
          <w:i w:val="0"/>
          <w:sz w:val="22"/>
        </w:rPr>
        <w:t>2. Sicherheitsleistung (Paragraf 67 ZVG)</w:t>
      </w:r>
    </w:p>
    <w:p>
      <w:pPr>
        <w:spacing w:after="120"/>
      </w:pPr>
      <w:r>
        <w:rPr>
          <w:rFonts w:ascii="Calibri" w:hAnsi="Calibri"/>
          <w:b w:val="0"/>
          <w:i w:val="0"/>
          <w:sz w:val="22"/>
        </w:rPr>
        <w:t>Die Sicherheitsleistung beträgt 10 % des Verkehrswerts = 68.500,00 EUR. Zulässig sind: Bankbürgschaft nach Paragraf 239 BGB oder Verrechnungsscheck einer deutschen Großbank, der nicht älter als drei Werktage ist.</w:t>
      </w:r>
    </w:p>
    <w:p>
      <w:pPr>
        <w:spacing w:after="120"/>
      </w:pPr>
      <w:r>
        <w:rPr>
          <w:rFonts w:ascii="Calibri" w:hAnsi="Calibri"/>
          <w:b w:val="0"/>
          <w:i w:val="0"/>
          <w:sz w:val="22"/>
        </w:rPr>
        <w:t>Nachweis der Sicherheitsleistung durch die Bieter:</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D9E1F2"/>
          </w:tcPr>
          <w:p>
            <w:pPr>
              <w:jc w:val="center"/>
            </w:pPr>
            <w:r>
              <w:rPr>
                <w:rFonts w:ascii="Calibri" w:hAnsi="Calibri"/>
                <w:b/>
                <w:i w:val="0"/>
                <w:sz w:val="20"/>
              </w:rPr>
              <w:t>Bieter</w:t>
            </w:r>
          </w:p>
        </w:tc>
        <w:tc>
          <w:tcPr>
            <w:tcW w:type="dxa" w:w="2835"/>
            <w:shd w:val="clear" w:color="auto" w:fill="D9E1F2"/>
          </w:tcPr>
          <w:p>
            <w:pPr>
              <w:jc w:val="center"/>
            </w:pPr>
            <w:r>
              <w:rPr>
                <w:rFonts w:ascii="Calibri" w:hAnsi="Calibri"/>
                <w:b/>
                <w:i w:val="0"/>
                <w:sz w:val="20"/>
              </w:rPr>
              <w:t>Form</w:t>
            </w:r>
          </w:p>
        </w:tc>
        <w:tc>
          <w:tcPr>
            <w:tcW w:type="dxa" w:w="1984"/>
            <w:shd w:val="clear" w:color="auto" w:fill="D9E1F2"/>
          </w:tcPr>
          <w:p>
            <w:pPr>
              <w:jc w:val="center"/>
            </w:pPr>
            <w:r>
              <w:rPr>
                <w:rFonts w:ascii="Calibri" w:hAnsi="Calibri"/>
                <w:b/>
                <w:i w:val="0"/>
                <w:sz w:val="20"/>
              </w:rPr>
              <w:t>Betrag</w:t>
            </w:r>
          </w:p>
        </w:tc>
        <w:tc>
          <w:tcPr>
            <w:tcW w:type="dxa" w:w="1417"/>
            <w:shd w:val="clear" w:color="auto" w:fill="D9E1F2"/>
          </w:tcPr>
          <w:p>
            <w:pPr>
              <w:jc w:val="center"/>
            </w:pPr>
            <w:r>
              <w:rPr>
                <w:rFonts w:ascii="Calibri" w:hAnsi="Calibri"/>
                <w:b/>
                <w:i w:val="0"/>
                <w:sz w:val="20"/>
              </w:rPr>
              <w:t>Akzeptiert</w:t>
            </w:r>
          </w:p>
        </w:tc>
      </w:tr>
      <w:tr>
        <w:tc>
          <w:tcPr>
            <w:tcW w:type="dxa" w:w="2835"/>
          </w:tcPr>
          <w:p>
            <w:r>
              <w:rPr>
                <w:rFonts w:ascii="Calibri" w:hAnsi="Calibri"/>
                <w:b w:val="0"/>
                <w:i w:val="0"/>
                <w:sz w:val="20"/>
              </w:rPr>
              <w:t>Nordhafen Immobilien UG</w:t>
            </w:r>
          </w:p>
        </w:tc>
        <w:tc>
          <w:tcPr>
            <w:tcW w:type="dxa" w:w="2835"/>
          </w:tcPr>
          <w:p>
            <w:r>
              <w:rPr>
                <w:rFonts w:ascii="Calibri" w:hAnsi="Calibri"/>
                <w:b w:val="0"/>
                <w:i w:val="0"/>
                <w:sz w:val="20"/>
              </w:rPr>
              <w:t>Bankbürgschaft Sparkasse Hamburg</w:t>
            </w:r>
          </w:p>
        </w:tc>
        <w:tc>
          <w:tcPr>
            <w:tcW w:type="dxa" w:w="1984"/>
          </w:tcPr>
          <w:p>
            <w:r>
              <w:rPr>
                <w:rFonts w:ascii="Calibri" w:hAnsi="Calibri"/>
                <w:b w:val="0"/>
                <w:i w:val="0"/>
                <w:sz w:val="20"/>
              </w:rPr>
              <w:t>68.500,00 EUR</w:t>
            </w:r>
          </w:p>
        </w:tc>
        <w:tc>
          <w:tcPr>
            <w:tcW w:type="dxa" w:w="1417"/>
          </w:tcPr>
          <w:p>
            <w:r>
              <w:rPr>
                <w:rFonts w:ascii="Calibri" w:hAnsi="Calibri"/>
                <w:b w:val="0"/>
                <w:i w:val="0"/>
                <w:sz w:val="20"/>
              </w:rPr>
              <w:t>Ja</w:t>
            </w:r>
          </w:p>
        </w:tc>
      </w:tr>
      <w:tr>
        <w:tc>
          <w:tcPr>
            <w:tcW w:type="dxa" w:w="2835"/>
          </w:tcPr>
          <w:p>
            <w:r>
              <w:rPr>
                <w:rFonts w:ascii="Calibri" w:hAnsi="Calibri"/>
                <w:b w:val="0"/>
                <w:i w:val="0"/>
                <w:sz w:val="20"/>
              </w:rPr>
              <w:t>Elke Sonnenberg</w:t>
            </w:r>
          </w:p>
        </w:tc>
        <w:tc>
          <w:tcPr>
            <w:tcW w:type="dxa" w:w="2835"/>
          </w:tcPr>
          <w:p>
            <w:r>
              <w:rPr>
                <w:rFonts w:ascii="Calibri" w:hAnsi="Calibri"/>
                <w:b w:val="0"/>
                <w:i w:val="0"/>
                <w:sz w:val="20"/>
              </w:rPr>
              <w:t>Verrechnungsscheck Hamburger Volksbank</w:t>
            </w:r>
          </w:p>
        </w:tc>
        <w:tc>
          <w:tcPr>
            <w:tcW w:type="dxa" w:w="1984"/>
          </w:tcPr>
          <w:p>
            <w:r>
              <w:rPr>
                <w:rFonts w:ascii="Calibri" w:hAnsi="Calibri"/>
                <w:b w:val="0"/>
                <w:i w:val="0"/>
                <w:sz w:val="20"/>
              </w:rPr>
              <w:t>68.500,00 EUR</w:t>
            </w:r>
          </w:p>
        </w:tc>
        <w:tc>
          <w:tcPr>
            <w:tcW w:type="dxa" w:w="1417"/>
          </w:tcPr>
          <w:p>
            <w:r>
              <w:rPr>
                <w:rFonts w:ascii="Calibri" w:hAnsi="Calibri"/>
                <w:b w:val="0"/>
                <w:i w:val="0"/>
                <w:sz w:val="20"/>
              </w:rPr>
              <w:t>Ja</w:t>
            </w:r>
          </w:p>
        </w:tc>
      </w:tr>
      <w:tr>
        <w:tc>
          <w:tcPr>
            <w:tcW w:type="dxa" w:w="2835"/>
          </w:tcPr>
          <w:p>
            <w:r>
              <w:rPr>
                <w:rFonts w:ascii="Calibri" w:hAnsi="Calibri"/>
                <w:b w:val="0"/>
                <w:i w:val="0"/>
                <w:sz w:val="20"/>
              </w:rPr>
              <w:t>BH Capital GmbH &amp; Co. KG</w:t>
            </w:r>
          </w:p>
        </w:tc>
        <w:tc>
          <w:tcPr>
            <w:tcW w:type="dxa" w:w="2835"/>
          </w:tcPr>
          <w:p>
            <w:r>
              <w:rPr>
                <w:rFonts w:ascii="Calibri" w:hAnsi="Calibri"/>
                <w:b w:val="0"/>
                <w:i w:val="0"/>
                <w:sz w:val="20"/>
              </w:rPr>
              <w:t>Bankbürgschaft Commerzbank AG</w:t>
            </w:r>
          </w:p>
        </w:tc>
        <w:tc>
          <w:tcPr>
            <w:tcW w:type="dxa" w:w="1984"/>
          </w:tcPr>
          <w:p>
            <w:r>
              <w:rPr>
                <w:rFonts w:ascii="Calibri" w:hAnsi="Calibri"/>
                <w:b w:val="0"/>
                <w:i w:val="0"/>
                <w:sz w:val="20"/>
              </w:rPr>
              <w:t>68.500,00 EUR</w:t>
            </w:r>
          </w:p>
        </w:tc>
        <w:tc>
          <w:tcPr>
            <w:tcW w:type="dxa" w:w="1417"/>
          </w:tcPr>
          <w:p>
            <w:r>
              <w:rPr>
                <w:rFonts w:ascii="Calibri" w:hAnsi="Calibri"/>
                <w:b w:val="0"/>
                <w:i w:val="0"/>
                <w:sz w:val="20"/>
              </w:rPr>
              <w:t>Ja</w:t>
            </w:r>
          </w:p>
        </w:tc>
      </w:tr>
    </w:tbl>
    <w:p/>
    <w:p>
      <w:pPr>
        <w:spacing w:before="240" w:after="80"/>
        <w:jc w:val="left"/>
      </w:pPr>
      <w:r>
        <w:rPr>
          <w:rFonts w:ascii="Calibri" w:hAnsi="Calibri"/>
          <w:b/>
          <w:i w:val="0"/>
          <w:sz w:val="22"/>
        </w:rPr>
        <w:t>3. Geringstes Gebot (Paragraf 49 ZVG)</w:t>
      </w:r>
    </w:p>
    <w:p>
      <w:pPr>
        <w:spacing w:after="120"/>
      </w:pPr>
      <w:r>
        <w:rPr>
          <w:rFonts w:ascii="Calibri" w:hAnsi="Calibri"/>
          <w:b w:val="0"/>
          <w:i w:val="0"/>
          <w:sz w:val="22"/>
        </w:rPr>
        <w:t>Die Rechtspflegerin stellt das geringste Gebot fest. Da keine bestehenbleibenden Rechte vorhanden sind, besteht das geringste Gebot ausschließlich aus dem Deckungsgebot (Verfahrenskosten und laufende Zinsen).</w:t>
      </w:r>
    </w:p>
    <w:tbl>
      <w:tblPr>
        <w:tblStyle w:val="TableGrid"/>
        <w:tblW w:type="auto" w:w="0"/>
        <w:tblLook w:firstColumn="1" w:firstRow="1" w:lastColumn="0" w:lastRow="0" w:noHBand="0" w:noVBand="1" w:val="04A0"/>
      </w:tblPr>
      <w:tblGrid>
        <w:gridCol w:w="4703"/>
        <w:gridCol w:w="4703"/>
      </w:tblGrid>
      <w:tr>
        <w:tc>
          <w:tcPr>
            <w:tcW w:type="dxa" w:w="5669"/>
            <w:shd w:val="clear" w:color="auto" w:fill="D9E1F2"/>
          </w:tcPr>
          <w:p>
            <w:pPr>
              <w:jc w:val="center"/>
            </w:pPr>
            <w:r>
              <w:rPr>
                <w:rFonts w:ascii="Calibri" w:hAnsi="Calibri"/>
                <w:b/>
                <w:i w:val="0"/>
                <w:sz w:val="20"/>
              </w:rPr>
              <w:t>Position</w:t>
            </w:r>
          </w:p>
        </w:tc>
        <w:tc>
          <w:tcPr>
            <w:tcW w:type="dxa" w:w="3402"/>
            <w:shd w:val="clear" w:color="auto" w:fill="D9E1F2"/>
          </w:tcPr>
          <w:p>
            <w:pPr>
              <w:jc w:val="center"/>
            </w:pPr>
            <w:r>
              <w:rPr>
                <w:rFonts w:ascii="Calibri" w:hAnsi="Calibri"/>
                <w:b/>
                <w:i w:val="0"/>
                <w:sz w:val="20"/>
              </w:rPr>
              <w:t>Betrag</w:t>
            </w:r>
          </w:p>
        </w:tc>
      </w:tr>
      <w:tr>
        <w:tc>
          <w:tcPr>
            <w:tcW w:type="dxa" w:w="5669"/>
          </w:tcPr>
          <w:p>
            <w:r>
              <w:rPr>
                <w:rFonts w:ascii="Calibri" w:hAnsi="Calibri"/>
                <w:b w:val="0"/>
                <w:i w:val="0"/>
                <w:sz w:val="20"/>
              </w:rPr>
              <w:t>Verfahrensgebühren (GKG)</w:t>
            </w:r>
          </w:p>
        </w:tc>
        <w:tc>
          <w:tcPr>
            <w:tcW w:type="dxa" w:w="3402"/>
          </w:tcPr>
          <w:p>
            <w:r>
              <w:rPr>
                <w:rFonts w:ascii="Calibri" w:hAnsi="Calibri"/>
                <w:b w:val="0"/>
                <w:i w:val="0"/>
                <w:sz w:val="20"/>
              </w:rPr>
              <w:t>7.242,00 EUR</w:t>
            </w:r>
          </w:p>
        </w:tc>
      </w:tr>
      <w:tr>
        <w:tc>
          <w:tcPr>
            <w:tcW w:type="dxa" w:w="5669"/>
          </w:tcPr>
          <w:p>
            <w:r>
              <w:rPr>
                <w:rFonts w:ascii="Calibri" w:hAnsi="Calibri"/>
                <w:b w:val="0"/>
                <w:i w:val="0"/>
                <w:sz w:val="20"/>
              </w:rPr>
              <w:t>Gerichtliche Auslagen (Gutachten, Bekanntmachungen etc.)</w:t>
            </w:r>
          </w:p>
        </w:tc>
        <w:tc>
          <w:tcPr>
            <w:tcW w:type="dxa" w:w="3402"/>
          </w:tcPr>
          <w:p>
            <w:r>
              <w:rPr>
                <w:rFonts w:ascii="Calibri" w:hAnsi="Calibri"/>
                <w:b w:val="0"/>
                <w:i w:val="0"/>
                <w:sz w:val="20"/>
              </w:rPr>
              <w:t>2.200,00 EUR</w:t>
            </w:r>
          </w:p>
        </w:tc>
      </w:tr>
      <w:tr>
        <w:tc>
          <w:tcPr>
            <w:tcW w:type="dxa" w:w="5669"/>
          </w:tcPr>
          <w:p>
            <w:r>
              <w:rPr>
                <w:rFonts w:ascii="Calibri" w:hAnsi="Calibri"/>
                <w:b w:val="0"/>
                <w:i w:val="0"/>
                <w:sz w:val="20"/>
              </w:rPr>
              <w:t>Sonstige Kosten</w:t>
            </w:r>
          </w:p>
        </w:tc>
        <w:tc>
          <w:tcPr>
            <w:tcW w:type="dxa" w:w="3402"/>
          </w:tcPr>
          <w:p>
            <w:r>
              <w:rPr>
                <w:rFonts w:ascii="Calibri" w:hAnsi="Calibri"/>
                <w:b w:val="0"/>
                <w:i w:val="0"/>
                <w:sz w:val="20"/>
              </w:rPr>
              <w:t>5.800,00 EUR</w:t>
            </w:r>
          </w:p>
        </w:tc>
      </w:tr>
      <w:tr>
        <w:tc>
          <w:tcPr>
            <w:tcW w:type="dxa" w:w="5669"/>
          </w:tcPr>
          <w:p>
            <w:r>
              <w:rPr>
                <w:rFonts w:ascii="Calibri" w:hAnsi="Calibri"/>
                <w:b w:val="0"/>
                <w:i w:val="0"/>
                <w:sz w:val="20"/>
              </w:rPr>
              <w:t>**Geringstes Gebot**</w:t>
            </w:r>
          </w:p>
        </w:tc>
        <w:tc>
          <w:tcPr>
            <w:tcW w:type="dxa" w:w="3402"/>
          </w:tcPr>
          <w:p>
            <w:r>
              <w:rPr>
                <w:rFonts w:ascii="Calibri" w:hAnsi="Calibri"/>
                <w:b w:val="0"/>
                <w:i w:val="0"/>
                <w:sz w:val="20"/>
              </w:rPr>
              <w:t>**15.242,00 EUR**</w:t>
            </w:r>
          </w:p>
        </w:tc>
      </w:tr>
    </w:tbl>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IV. Biettermin und Gebote (Paragraf 73 ZVG)</w:t>
      </w:r>
    </w:p>
    <w:p>
      <w:pPr>
        <w:spacing w:after="120"/>
      </w:pPr>
      <w:r>
        <w:rPr>
          <w:rFonts w:ascii="Calibri" w:hAnsi="Calibri"/>
          <w:b w:val="0"/>
          <w:i w:val="0"/>
          <w:sz w:val="22"/>
        </w:rPr>
        <w:t>Der Biettermin wird eröffnet. Die Rechtspflegerin weist auf die Bietungsregeln, die Schutzgrenzen nach Paragrafen 74a, 85a ZVG sowie die Bedeutung des Zuschlags nach Paragrafen 81 ff. ZVG hin. Die 7/10-Grenze (479.500,00 EUR) und 5/10-Grenze (342.500,00 EUR) werden verlesen.</w:t>
      </w:r>
    </w:p>
    <w:p>
      <w:pPr>
        <w:spacing w:after="120"/>
      </w:pPr>
      <w:r>
        <w:rPr>
          <w:rFonts w:ascii="Calibri" w:hAnsi="Calibri"/>
          <w:b w:val="0"/>
          <w:i w:val="0"/>
          <w:sz w:val="22"/>
        </w:rPr>
        <w:t>Der Biettermin beginnt um 10:38 Uhr. Es werden folgende Gebote abgegeben (Zeitstempel gerundet):</w:t>
      </w:r>
    </w:p>
    <w:tbl>
      <w:tblPr>
        <w:tblStyle w:val="TableGrid"/>
        <w:tblW w:type="auto" w:w="0"/>
        <w:tblLook w:firstColumn="1" w:firstRow="1" w:lastColumn="0" w:lastRow="0" w:noHBand="0" w:noVBand="1" w:val="04A0"/>
      </w:tblPr>
      <w:tblGrid>
        <w:gridCol w:w="2351"/>
        <w:gridCol w:w="2351"/>
        <w:gridCol w:w="2351"/>
        <w:gridCol w:w="2351"/>
      </w:tblGrid>
      <w:tr>
        <w:tc>
          <w:tcPr>
            <w:tcW w:type="dxa" w:w="1417"/>
            <w:shd w:val="clear" w:color="auto" w:fill="D9E1F2"/>
          </w:tcPr>
          <w:p>
            <w:pPr>
              <w:jc w:val="center"/>
            </w:pPr>
            <w:r>
              <w:rPr>
                <w:rFonts w:ascii="Calibri" w:hAnsi="Calibri"/>
                <w:b/>
                <w:i w:val="0"/>
                <w:sz w:val="20"/>
              </w:rPr>
              <w:t>Zeit</w:t>
            </w:r>
          </w:p>
        </w:tc>
        <w:tc>
          <w:tcPr>
            <w:tcW w:type="dxa" w:w="3402"/>
            <w:shd w:val="clear" w:color="auto" w:fill="D9E1F2"/>
          </w:tcPr>
          <w:p>
            <w:pPr>
              <w:jc w:val="center"/>
            </w:pPr>
            <w:r>
              <w:rPr>
                <w:rFonts w:ascii="Calibri" w:hAnsi="Calibri"/>
                <w:b/>
                <w:i w:val="0"/>
                <w:sz w:val="20"/>
              </w:rPr>
              <w:t>Bieter</w:t>
            </w:r>
          </w:p>
        </w:tc>
        <w:tc>
          <w:tcPr>
            <w:tcW w:type="dxa" w:w="2551"/>
            <w:shd w:val="clear" w:color="auto" w:fill="D9E1F2"/>
          </w:tcPr>
          <w:p>
            <w:pPr>
              <w:jc w:val="center"/>
            </w:pPr>
            <w:r>
              <w:rPr>
                <w:rFonts w:ascii="Calibri" w:hAnsi="Calibri"/>
                <w:b/>
                <w:i w:val="0"/>
                <w:sz w:val="20"/>
              </w:rPr>
              <w:t>Bargebot</w:t>
            </w:r>
          </w:p>
        </w:tc>
        <w:tc>
          <w:tcPr>
            <w:tcW w:type="dxa" w:w="2268"/>
            <w:shd w:val="clear" w:color="auto" w:fill="D9E1F2"/>
          </w:tcPr>
          <w:p>
            <w:pPr>
              <w:jc w:val="center"/>
            </w:pPr>
            <w:r>
              <w:rPr>
                <w:rFonts w:ascii="Calibri" w:hAnsi="Calibri"/>
                <w:b/>
                <w:i w:val="0"/>
                <w:sz w:val="20"/>
              </w:rPr>
              <w:t>Kumuliert</w:t>
            </w:r>
          </w:p>
        </w:tc>
      </w:tr>
      <w:tr>
        <w:tc>
          <w:tcPr>
            <w:tcW w:type="dxa" w:w="1417"/>
          </w:tcPr>
          <w:p>
            <w:r>
              <w:rPr>
                <w:rFonts w:ascii="Calibri" w:hAnsi="Calibri"/>
                <w:b w:val="0"/>
                <w:i w:val="0"/>
                <w:sz w:val="20"/>
              </w:rPr>
              <w:t>10:40</w:t>
            </w:r>
          </w:p>
        </w:tc>
        <w:tc>
          <w:tcPr>
            <w:tcW w:type="dxa" w:w="3402"/>
          </w:tcPr>
          <w:p>
            <w:r>
              <w:rPr>
                <w:rFonts w:ascii="Calibri" w:hAnsi="Calibri"/>
                <w:b w:val="0"/>
                <w:i w:val="0"/>
                <w:sz w:val="20"/>
              </w:rPr>
              <w:t>Nordhafen Immobilien UG</w:t>
            </w:r>
          </w:p>
        </w:tc>
        <w:tc>
          <w:tcPr>
            <w:tcW w:type="dxa" w:w="2551"/>
          </w:tcPr>
          <w:p>
            <w:r>
              <w:rPr>
                <w:rFonts w:ascii="Calibri" w:hAnsi="Calibri"/>
                <w:b w:val="0"/>
                <w:i w:val="0"/>
                <w:sz w:val="20"/>
              </w:rPr>
              <w:t>420.000,00 EUR</w:t>
            </w:r>
          </w:p>
        </w:tc>
        <w:tc>
          <w:tcPr>
            <w:tcW w:type="dxa" w:w="2268"/>
          </w:tcPr>
          <w:p>
            <w:r>
              <w:rPr>
                <w:rFonts w:ascii="Calibri" w:hAnsi="Calibri"/>
                <w:b w:val="0"/>
                <w:i w:val="0"/>
                <w:sz w:val="20"/>
              </w:rPr>
              <w:t>420.000,00 EUR</w:t>
            </w:r>
          </w:p>
        </w:tc>
      </w:tr>
      <w:tr>
        <w:tc>
          <w:tcPr>
            <w:tcW w:type="dxa" w:w="1417"/>
          </w:tcPr>
          <w:p>
            <w:r>
              <w:rPr>
                <w:rFonts w:ascii="Calibri" w:hAnsi="Calibri"/>
                <w:b w:val="0"/>
                <w:i w:val="0"/>
                <w:sz w:val="20"/>
              </w:rPr>
              <w:t>10:43</w:t>
            </w:r>
          </w:p>
        </w:tc>
        <w:tc>
          <w:tcPr>
            <w:tcW w:type="dxa" w:w="3402"/>
          </w:tcPr>
          <w:p>
            <w:r>
              <w:rPr>
                <w:rFonts w:ascii="Calibri" w:hAnsi="Calibri"/>
                <w:b w:val="0"/>
                <w:i w:val="0"/>
                <w:sz w:val="20"/>
              </w:rPr>
              <w:t>BH Capital GmbH &amp; Co. KG</w:t>
            </w:r>
          </w:p>
        </w:tc>
        <w:tc>
          <w:tcPr>
            <w:tcW w:type="dxa" w:w="2551"/>
          </w:tcPr>
          <w:p>
            <w:r>
              <w:rPr>
                <w:rFonts w:ascii="Calibri" w:hAnsi="Calibri"/>
                <w:b w:val="0"/>
                <w:i w:val="0"/>
                <w:sz w:val="20"/>
              </w:rPr>
              <w:t>450.000,00 EUR</w:t>
            </w:r>
          </w:p>
        </w:tc>
        <w:tc>
          <w:tcPr>
            <w:tcW w:type="dxa" w:w="2268"/>
          </w:tcPr>
          <w:p>
            <w:r>
              <w:rPr>
                <w:rFonts w:ascii="Calibri" w:hAnsi="Calibri"/>
                <w:b w:val="0"/>
                <w:i w:val="0"/>
                <w:sz w:val="20"/>
              </w:rPr>
              <w:t>450.000,00 EUR</w:t>
            </w:r>
          </w:p>
        </w:tc>
      </w:tr>
      <w:tr>
        <w:tc>
          <w:tcPr>
            <w:tcW w:type="dxa" w:w="1417"/>
          </w:tcPr>
          <w:p>
            <w:r>
              <w:rPr>
                <w:rFonts w:ascii="Calibri" w:hAnsi="Calibri"/>
                <w:b w:val="0"/>
                <w:i w:val="0"/>
                <w:sz w:val="20"/>
              </w:rPr>
              <w:t>10:46</w:t>
            </w:r>
          </w:p>
        </w:tc>
        <w:tc>
          <w:tcPr>
            <w:tcW w:type="dxa" w:w="3402"/>
          </w:tcPr>
          <w:p>
            <w:r>
              <w:rPr>
                <w:rFonts w:ascii="Calibri" w:hAnsi="Calibri"/>
                <w:b w:val="0"/>
                <w:i w:val="0"/>
                <w:sz w:val="20"/>
              </w:rPr>
              <w:t>Elke Sonnenberg</w:t>
            </w:r>
          </w:p>
        </w:tc>
        <w:tc>
          <w:tcPr>
            <w:tcW w:type="dxa" w:w="2551"/>
          </w:tcPr>
          <w:p>
            <w:r>
              <w:rPr>
                <w:rFonts w:ascii="Calibri" w:hAnsi="Calibri"/>
                <w:b w:val="0"/>
                <w:i w:val="0"/>
                <w:sz w:val="20"/>
              </w:rPr>
              <w:t>465.000,00 EUR</w:t>
            </w:r>
          </w:p>
        </w:tc>
        <w:tc>
          <w:tcPr>
            <w:tcW w:type="dxa" w:w="2268"/>
          </w:tcPr>
          <w:p>
            <w:r>
              <w:rPr>
                <w:rFonts w:ascii="Calibri" w:hAnsi="Calibri"/>
                <w:b w:val="0"/>
                <w:i w:val="0"/>
                <w:sz w:val="20"/>
              </w:rPr>
              <w:t>465.000,00 EUR</w:t>
            </w:r>
          </w:p>
        </w:tc>
      </w:tr>
      <w:tr>
        <w:tc>
          <w:tcPr>
            <w:tcW w:type="dxa" w:w="1417"/>
          </w:tcPr>
          <w:p>
            <w:r>
              <w:rPr>
                <w:rFonts w:ascii="Calibri" w:hAnsi="Calibri"/>
                <w:b w:val="0"/>
                <w:i w:val="0"/>
                <w:sz w:val="20"/>
              </w:rPr>
              <w:t>10:49</w:t>
            </w:r>
          </w:p>
        </w:tc>
        <w:tc>
          <w:tcPr>
            <w:tcW w:type="dxa" w:w="3402"/>
          </w:tcPr>
          <w:p>
            <w:r>
              <w:rPr>
                <w:rFonts w:ascii="Calibri" w:hAnsi="Calibri"/>
                <w:b w:val="0"/>
                <w:i w:val="0"/>
                <w:sz w:val="20"/>
              </w:rPr>
              <w:t>Nordhafen Immobilien UG</w:t>
            </w:r>
          </w:p>
        </w:tc>
        <w:tc>
          <w:tcPr>
            <w:tcW w:type="dxa" w:w="2551"/>
          </w:tcPr>
          <w:p>
            <w:r>
              <w:rPr>
                <w:rFonts w:ascii="Calibri" w:hAnsi="Calibri"/>
                <w:b w:val="0"/>
                <w:i w:val="0"/>
                <w:sz w:val="20"/>
              </w:rPr>
              <w:t>480.000,00 EUR</w:t>
            </w:r>
          </w:p>
        </w:tc>
        <w:tc>
          <w:tcPr>
            <w:tcW w:type="dxa" w:w="2268"/>
          </w:tcPr>
          <w:p>
            <w:r>
              <w:rPr>
                <w:rFonts w:ascii="Calibri" w:hAnsi="Calibri"/>
                <w:b w:val="0"/>
                <w:i w:val="0"/>
                <w:sz w:val="20"/>
              </w:rPr>
              <w:t>480.000,00 EUR</w:t>
            </w:r>
          </w:p>
        </w:tc>
      </w:tr>
      <w:tr>
        <w:tc>
          <w:tcPr>
            <w:tcW w:type="dxa" w:w="1417"/>
          </w:tcPr>
          <w:p>
            <w:r>
              <w:rPr>
                <w:rFonts w:ascii="Calibri" w:hAnsi="Calibri"/>
                <w:b w:val="0"/>
                <w:i w:val="0"/>
                <w:sz w:val="20"/>
              </w:rPr>
              <w:t>10:52</w:t>
            </w:r>
          </w:p>
        </w:tc>
        <w:tc>
          <w:tcPr>
            <w:tcW w:type="dxa" w:w="3402"/>
          </w:tcPr>
          <w:p>
            <w:r>
              <w:rPr>
                <w:rFonts w:ascii="Calibri" w:hAnsi="Calibri"/>
                <w:b w:val="0"/>
                <w:i w:val="0"/>
                <w:sz w:val="20"/>
              </w:rPr>
              <w:t>BH Capital GmbH &amp; Co. KG</w:t>
            </w:r>
          </w:p>
        </w:tc>
        <w:tc>
          <w:tcPr>
            <w:tcW w:type="dxa" w:w="2551"/>
          </w:tcPr>
          <w:p>
            <w:r>
              <w:rPr>
                <w:rFonts w:ascii="Calibri" w:hAnsi="Calibri"/>
                <w:b w:val="0"/>
                <w:i w:val="0"/>
                <w:sz w:val="20"/>
              </w:rPr>
              <w:t>495.000,00 EUR</w:t>
            </w:r>
          </w:p>
        </w:tc>
        <w:tc>
          <w:tcPr>
            <w:tcW w:type="dxa" w:w="2268"/>
          </w:tcPr>
          <w:p>
            <w:r>
              <w:rPr>
                <w:rFonts w:ascii="Calibri" w:hAnsi="Calibri"/>
                <w:b w:val="0"/>
                <w:i w:val="0"/>
                <w:sz w:val="20"/>
              </w:rPr>
              <w:t>495.000,00 EUR</w:t>
            </w:r>
          </w:p>
        </w:tc>
      </w:tr>
      <w:tr>
        <w:tc>
          <w:tcPr>
            <w:tcW w:type="dxa" w:w="1417"/>
          </w:tcPr>
          <w:p>
            <w:r>
              <w:rPr>
                <w:rFonts w:ascii="Calibri" w:hAnsi="Calibri"/>
                <w:b w:val="0"/>
                <w:i w:val="0"/>
                <w:sz w:val="20"/>
              </w:rPr>
              <w:t>10:55</w:t>
            </w:r>
          </w:p>
        </w:tc>
        <w:tc>
          <w:tcPr>
            <w:tcW w:type="dxa" w:w="3402"/>
          </w:tcPr>
          <w:p>
            <w:r>
              <w:rPr>
                <w:rFonts w:ascii="Calibri" w:hAnsi="Calibri"/>
                <w:b w:val="0"/>
                <w:i w:val="0"/>
                <w:sz w:val="20"/>
              </w:rPr>
              <w:t>Nordhafen Immobilien UG</w:t>
            </w:r>
          </w:p>
        </w:tc>
        <w:tc>
          <w:tcPr>
            <w:tcW w:type="dxa" w:w="2551"/>
          </w:tcPr>
          <w:p>
            <w:r>
              <w:rPr>
                <w:rFonts w:ascii="Calibri" w:hAnsi="Calibri"/>
                <w:b w:val="0"/>
                <w:i w:val="0"/>
                <w:sz w:val="20"/>
              </w:rPr>
              <w:t>505.000,00 EUR</w:t>
            </w:r>
          </w:p>
        </w:tc>
        <w:tc>
          <w:tcPr>
            <w:tcW w:type="dxa" w:w="2268"/>
          </w:tcPr>
          <w:p>
            <w:r>
              <w:rPr>
                <w:rFonts w:ascii="Calibri" w:hAnsi="Calibri"/>
                <w:b w:val="0"/>
                <w:i w:val="0"/>
                <w:sz w:val="20"/>
              </w:rPr>
              <w:t>505.000,00 EUR</w:t>
            </w:r>
          </w:p>
        </w:tc>
      </w:tr>
      <w:tr>
        <w:tc>
          <w:tcPr>
            <w:tcW w:type="dxa" w:w="1417"/>
          </w:tcPr>
          <w:p>
            <w:r>
              <w:rPr>
                <w:rFonts w:ascii="Calibri" w:hAnsi="Calibri"/>
                <w:b w:val="0"/>
                <w:i w:val="0"/>
                <w:sz w:val="20"/>
              </w:rPr>
              <w:t>10:59</w:t>
            </w:r>
          </w:p>
        </w:tc>
        <w:tc>
          <w:tcPr>
            <w:tcW w:type="dxa" w:w="3402"/>
          </w:tcPr>
          <w:p>
            <w:r>
              <w:rPr>
                <w:rFonts w:ascii="Calibri" w:hAnsi="Calibri"/>
                <w:b w:val="0"/>
                <w:i w:val="0"/>
                <w:sz w:val="20"/>
              </w:rPr>
              <w:t>BH Capital GmbH &amp; Co. KG</w:t>
            </w:r>
          </w:p>
        </w:tc>
        <w:tc>
          <w:tcPr>
            <w:tcW w:type="dxa" w:w="2551"/>
          </w:tcPr>
          <w:p>
            <w:r>
              <w:rPr>
                <w:rFonts w:ascii="Calibri" w:hAnsi="Calibri"/>
                <w:b w:val="0"/>
                <w:i w:val="0"/>
                <w:sz w:val="20"/>
              </w:rPr>
              <w:t>515.000,00 EUR</w:t>
            </w:r>
          </w:p>
        </w:tc>
        <w:tc>
          <w:tcPr>
            <w:tcW w:type="dxa" w:w="2268"/>
          </w:tcPr>
          <w:p>
            <w:r>
              <w:rPr>
                <w:rFonts w:ascii="Calibri" w:hAnsi="Calibri"/>
                <w:b w:val="0"/>
                <w:i w:val="0"/>
                <w:sz w:val="20"/>
              </w:rPr>
              <w:t>515.000,00 EUR</w:t>
            </w:r>
          </w:p>
        </w:tc>
      </w:tr>
      <w:tr>
        <w:tc>
          <w:tcPr>
            <w:tcW w:type="dxa" w:w="1417"/>
          </w:tcPr>
          <w:p>
            <w:r>
              <w:rPr>
                <w:rFonts w:ascii="Calibri" w:hAnsi="Calibri"/>
                <w:b w:val="0"/>
                <w:i w:val="0"/>
                <w:sz w:val="20"/>
              </w:rPr>
              <w:t>11:03</w:t>
            </w:r>
          </w:p>
        </w:tc>
        <w:tc>
          <w:tcPr>
            <w:tcW w:type="dxa" w:w="3402"/>
          </w:tcPr>
          <w:p>
            <w:r>
              <w:rPr>
                <w:rFonts w:ascii="Calibri" w:hAnsi="Calibri"/>
                <w:b w:val="0"/>
                <w:i w:val="0"/>
                <w:sz w:val="20"/>
              </w:rPr>
              <w:t>Nordhafen Immobilien UG</w:t>
            </w:r>
          </w:p>
        </w:tc>
        <w:tc>
          <w:tcPr>
            <w:tcW w:type="dxa" w:w="2551"/>
          </w:tcPr>
          <w:p>
            <w:r>
              <w:rPr>
                <w:rFonts w:ascii="Calibri" w:hAnsi="Calibri"/>
                <w:b w:val="0"/>
                <w:i w:val="0"/>
                <w:sz w:val="20"/>
              </w:rPr>
              <w:t>520.000,00 EUR</w:t>
            </w:r>
          </w:p>
        </w:tc>
        <w:tc>
          <w:tcPr>
            <w:tcW w:type="dxa" w:w="2268"/>
          </w:tcPr>
          <w:p>
            <w:r>
              <w:rPr>
                <w:rFonts w:ascii="Calibri" w:hAnsi="Calibri"/>
                <w:b w:val="0"/>
                <w:i w:val="0"/>
                <w:sz w:val="20"/>
              </w:rPr>
              <w:t>520.000,00 EUR</w:t>
            </w:r>
          </w:p>
        </w:tc>
      </w:tr>
      <w:tr>
        <w:tc>
          <w:tcPr>
            <w:tcW w:type="dxa" w:w="1417"/>
          </w:tcPr>
          <w:p>
            <w:r>
              <w:rPr>
                <w:rFonts w:ascii="Calibri" w:hAnsi="Calibri"/>
                <w:b w:val="0"/>
                <w:i w:val="0"/>
                <w:sz w:val="20"/>
              </w:rPr>
              <w:t>11:07</w:t>
            </w:r>
          </w:p>
        </w:tc>
        <w:tc>
          <w:tcPr>
            <w:tcW w:type="dxa" w:w="3402"/>
          </w:tcPr>
          <w:p>
            <w:r>
              <w:rPr>
                <w:rFonts w:ascii="Calibri" w:hAnsi="Calibri"/>
                <w:b w:val="0"/>
                <w:i w:val="0"/>
                <w:sz w:val="20"/>
              </w:rPr>
              <w:t>BH Capital GmbH &amp; Co. KG</w:t>
            </w:r>
          </w:p>
        </w:tc>
        <w:tc>
          <w:tcPr>
            <w:tcW w:type="dxa" w:w="2551"/>
          </w:tcPr>
          <w:p>
            <w:r>
              <w:rPr>
                <w:rFonts w:ascii="Calibri" w:hAnsi="Calibri"/>
                <w:b w:val="0"/>
                <w:i w:val="0"/>
                <w:sz w:val="20"/>
              </w:rPr>
              <w:t>522.000,00 EUR</w:t>
            </w:r>
          </w:p>
        </w:tc>
        <w:tc>
          <w:tcPr>
            <w:tcW w:type="dxa" w:w="2268"/>
          </w:tcPr>
          <w:p>
            <w:r>
              <w:rPr>
                <w:rFonts w:ascii="Calibri" w:hAnsi="Calibri"/>
                <w:b w:val="0"/>
                <w:i w:val="0"/>
                <w:sz w:val="20"/>
              </w:rPr>
              <w:t>522.000,00 EUR</w:t>
            </w:r>
          </w:p>
        </w:tc>
      </w:tr>
      <w:tr>
        <w:tc>
          <w:tcPr>
            <w:tcW w:type="dxa" w:w="1417"/>
          </w:tcPr>
          <w:p>
            <w:r>
              <w:rPr>
                <w:rFonts w:ascii="Calibri" w:hAnsi="Calibri"/>
                <w:b w:val="0"/>
                <w:i w:val="0"/>
                <w:sz w:val="20"/>
              </w:rPr>
              <w:t>11:10</w:t>
            </w:r>
          </w:p>
        </w:tc>
        <w:tc>
          <w:tcPr>
            <w:tcW w:type="dxa" w:w="3402"/>
          </w:tcPr>
          <w:p>
            <w:r>
              <w:rPr>
                <w:rFonts w:ascii="Calibri" w:hAnsi="Calibri"/>
                <w:b w:val="0"/>
                <w:i w:val="0"/>
                <w:sz w:val="20"/>
              </w:rPr>
              <w:t>Nordhafen Immobilien UG</w:t>
            </w:r>
          </w:p>
        </w:tc>
        <w:tc>
          <w:tcPr>
            <w:tcW w:type="dxa" w:w="2551"/>
          </w:tcPr>
          <w:p>
            <w:r>
              <w:rPr>
                <w:rFonts w:ascii="Calibri" w:hAnsi="Calibri"/>
                <w:b w:val="0"/>
                <w:i w:val="0"/>
                <w:sz w:val="20"/>
              </w:rPr>
              <w:t>524.000,00 EUR</w:t>
            </w:r>
          </w:p>
        </w:tc>
        <w:tc>
          <w:tcPr>
            <w:tcW w:type="dxa" w:w="2268"/>
          </w:tcPr>
          <w:p>
            <w:r>
              <w:rPr>
                <w:rFonts w:ascii="Calibri" w:hAnsi="Calibri"/>
                <w:b w:val="0"/>
                <w:i w:val="0"/>
                <w:sz w:val="20"/>
              </w:rPr>
              <w:t>524.000,00 EUR</w:t>
            </w:r>
          </w:p>
        </w:tc>
      </w:tr>
      <w:tr>
        <w:tc>
          <w:tcPr>
            <w:tcW w:type="dxa" w:w="1417"/>
          </w:tcPr>
          <w:p>
            <w:r>
              <w:rPr>
                <w:rFonts w:ascii="Calibri" w:hAnsi="Calibri"/>
                <w:b w:val="0"/>
                <w:i w:val="0"/>
                <w:sz w:val="20"/>
              </w:rPr>
              <w:t>11:14</w:t>
            </w:r>
          </w:p>
        </w:tc>
        <w:tc>
          <w:tcPr>
            <w:tcW w:type="dxa" w:w="3402"/>
          </w:tcPr>
          <w:p>
            <w:r>
              <w:rPr>
                <w:rFonts w:ascii="Calibri" w:hAnsi="Calibri"/>
                <w:b w:val="0"/>
                <w:i w:val="0"/>
                <w:sz w:val="20"/>
              </w:rPr>
              <w:t>Elke Sonnenberg</w:t>
            </w:r>
          </w:p>
        </w:tc>
        <w:tc>
          <w:tcPr>
            <w:tcW w:type="dxa" w:w="2551"/>
          </w:tcPr>
          <w:p>
            <w:r>
              <w:rPr>
                <w:rFonts w:ascii="Calibri" w:hAnsi="Calibri"/>
                <w:b w:val="0"/>
                <w:i w:val="0"/>
                <w:sz w:val="20"/>
              </w:rPr>
              <w:t>526.000,00 EUR</w:t>
            </w:r>
          </w:p>
        </w:tc>
        <w:tc>
          <w:tcPr>
            <w:tcW w:type="dxa" w:w="2268"/>
          </w:tcPr>
          <w:p>
            <w:r>
              <w:rPr>
                <w:rFonts w:ascii="Calibri" w:hAnsi="Calibri"/>
                <w:b w:val="0"/>
                <w:i w:val="0"/>
                <w:sz w:val="20"/>
              </w:rPr>
              <w:t>526.000,00 EUR</w:t>
            </w:r>
          </w:p>
        </w:tc>
      </w:tr>
      <w:tr>
        <w:tc>
          <w:tcPr>
            <w:tcW w:type="dxa" w:w="1417"/>
          </w:tcPr>
          <w:p>
            <w:r>
              <w:rPr>
                <w:rFonts w:ascii="Calibri" w:hAnsi="Calibri"/>
                <w:b w:val="0"/>
                <w:i w:val="0"/>
                <w:sz w:val="20"/>
              </w:rPr>
              <w:t>11:16</w:t>
            </w:r>
          </w:p>
        </w:tc>
        <w:tc>
          <w:tcPr>
            <w:tcW w:type="dxa" w:w="3402"/>
          </w:tcPr>
          <w:p>
            <w:r>
              <w:rPr>
                <w:rFonts w:ascii="Calibri" w:hAnsi="Calibri"/>
                <w:b w:val="0"/>
                <w:i w:val="0"/>
                <w:sz w:val="20"/>
              </w:rPr>
              <w:t>BH Capital GmbH &amp; Co. KG</w:t>
            </w:r>
          </w:p>
        </w:tc>
        <w:tc>
          <w:tcPr>
            <w:tcW w:type="dxa" w:w="2551"/>
          </w:tcPr>
          <w:p>
            <w:r>
              <w:rPr>
                <w:rFonts w:ascii="Calibri" w:hAnsi="Calibri"/>
                <w:b w:val="0"/>
                <w:i w:val="0"/>
                <w:sz w:val="20"/>
              </w:rPr>
              <w:t>528.000,00 EUR</w:t>
            </w:r>
          </w:p>
        </w:tc>
        <w:tc>
          <w:tcPr>
            <w:tcW w:type="dxa" w:w="2268"/>
          </w:tcPr>
          <w:p>
            <w:r>
              <w:rPr>
                <w:rFonts w:ascii="Calibri" w:hAnsi="Calibri"/>
                <w:b w:val="0"/>
                <w:i w:val="0"/>
                <w:sz w:val="20"/>
              </w:rPr>
              <w:t>528.000,00 EUR</w:t>
            </w:r>
          </w:p>
        </w:tc>
      </w:tr>
      <w:tr>
        <w:tc>
          <w:tcPr>
            <w:tcW w:type="dxa" w:w="1417"/>
          </w:tcPr>
          <w:p>
            <w:r>
              <w:rPr>
                <w:rFonts w:ascii="Calibri" w:hAnsi="Calibri"/>
                <w:b w:val="0"/>
                <w:i w:val="0"/>
                <w:sz w:val="20"/>
              </w:rPr>
              <w:t>11:19</w:t>
            </w:r>
          </w:p>
        </w:tc>
        <w:tc>
          <w:tcPr>
            <w:tcW w:type="dxa" w:w="3402"/>
          </w:tcPr>
          <w:p>
            <w:r>
              <w:rPr>
                <w:rFonts w:ascii="Calibri" w:hAnsi="Calibri"/>
                <w:b w:val="0"/>
                <w:i w:val="0"/>
                <w:sz w:val="20"/>
              </w:rPr>
              <w:t>Nordhafen Immobilien UG</w:t>
            </w:r>
          </w:p>
        </w:tc>
        <w:tc>
          <w:tcPr>
            <w:tcW w:type="dxa" w:w="2551"/>
          </w:tcPr>
          <w:p>
            <w:r>
              <w:rPr>
                <w:rFonts w:ascii="Calibri" w:hAnsi="Calibri"/>
                <w:b w:val="0"/>
                <w:i w:val="0"/>
                <w:sz w:val="20"/>
              </w:rPr>
              <w:t>530.000,00 EUR</w:t>
            </w:r>
          </w:p>
        </w:tc>
        <w:tc>
          <w:tcPr>
            <w:tcW w:type="dxa" w:w="2268"/>
          </w:tcPr>
          <w:p>
            <w:r>
              <w:rPr>
                <w:rFonts w:ascii="Calibri" w:hAnsi="Calibri"/>
                <w:b w:val="0"/>
                <w:i w:val="0"/>
                <w:sz w:val="20"/>
              </w:rPr>
              <w:t>530.000,00 EUR</w:t>
            </w:r>
          </w:p>
        </w:tc>
      </w:tr>
      <w:tr>
        <w:tc>
          <w:tcPr>
            <w:tcW w:type="dxa" w:w="1417"/>
          </w:tcPr>
          <w:p>
            <w:r>
              <w:rPr>
                <w:rFonts w:ascii="Calibri" w:hAnsi="Calibri"/>
                <w:b w:val="0"/>
                <w:i w:val="0"/>
                <w:sz w:val="20"/>
              </w:rPr>
              <w:t>11:23</w:t>
            </w:r>
          </w:p>
        </w:tc>
        <w:tc>
          <w:tcPr>
            <w:tcW w:type="dxa" w:w="3402"/>
          </w:tcPr>
          <w:p>
            <w:r>
              <w:rPr>
                <w:rFonts w:ascii="Calibri" w:hAnsi="Calibri"/>
                <w:b w:val="0"/>
                <w:i w:val="0"/>
                <w:sz w:val="20"/>
              </w:rPr>
              <w:t>BH Capital GmbH &amp; Co. KG</w:t>
            </w:r>
          </w:p>
        </w:tc>
        <w:tc>
          <w:tcPr>
            <w:tcW w:type="dxa" w:w="2551"/>
          </w:tcPr>
          <w:p>
            <w:r>
              <w:rPr>
                <w:rFonts w:ascii="Calibri" w:hAnsi="Calibri"/>
                <w:b w:val="0"/>
                <w:i w:val="0"/>
                <w:sz w:val="20"/>
              </w:rPr>
              <w:t>532.000,00 EUR</w:t>
            </w:r>
          </w:p>
        </w:tc>
        <w:tc>
          <w:tcPr>
            <w:tcW w:type="dxa" w:w="2268"/>
          </w:tcPr>
          <w:p>
            <w:r>
              <w:rPr>
                <w:rFonts w:ascii="Calibri" w:hAnsi="Calibri"/>
                <w:b w:val="0"/>
                <w:i w:val="0"/>
                <w:sz w:val="20"/>
              </w:rPr>
              <w:t>532.000,00 EUR</w:t>
            </w:r>
          </w:p>
        </w:tc>
      </w:tr>
      <w:tr>
        <w:tc>
          <w:tcPr>
            <w:tcW w:type="dxa" w:w="1417"/>
          </w:tcPr>
          <w:p>
            <w:r>
              <w:rPr>
                <w:rFonts w:ascii="Calibri" w:hAnsi="Calibri"/>
                <w:b w:val="0"/>
                <w:i w:val="0"/>
                <w:sz w:val="20"/>
              </w:rPr>
              <w:t>11:25</w:t>
            </w:r>
          </w:p>
        </w:tc>
        <w:tc>
          <w:tcPr>
            <w:tcW w:type="dxa" w:w="3402"/>
          </w:tcPr>
          <w:p>
            <w:r>
              <w:rPr>
                <w:rFonts w:ascii="Calibri" w:hAnsi="Calibri"/>
                <w:b w:val="0"/>
                <w:i w:val="0"/>
                <w:sz w:val="20"/>
              </w:rPr>
              <w:t>Nordhafen Immobilien UG</w:t>
            </w:r>
          </w:p>
        </w:tc>
        <w:tc>
          <w:tcPr>
            <w:tcW w:type="dxa" w:w="2551"/>
          </w:tcPr>
          <w:p>
            <w:r>
              <w:rPr>
                <w:rFonts w:ascii="Calibri" w:hAnsi="Calibri"/>
                <w:b w:val="0"/>
                <w:i w:val="0"/>
                <w:sz w:val="20"/>
              </w:rPr>
              <w:t>534.000,00 EUR</w:t>
            </w:r>
          </w:p>
        </w:tc>
        <w:tc>
          <w:tcPr>
            <w:tcW w:type="dxa" w:w="2268"/>
          </w:tcPr>
          <w:p>
            <w:r>
              <w:rPr>
                <w:rFonts w:ascii="Calibri" w:hAnsi="Calibri"/>
                <w:b w:val="0"/>
                <w:i w:val="0"/>
                <w:sz w:val="20"/>
              </w:rPr>
              <w:t>534.000,00 EUR</w:t>
            </w:r>
          </w:p>
        </w:tc>
      </w:tr>
    </w:tbl>
    <w:p/>
    <w:p>
      <w:pPr>
        <w:spacing w:after="120"/>
      </w:pPr>
      <w:r>
        <w:rPr>
          <w:rFonts w:ascii="Calibri" w:hAnsi="Calibri"/>
          <w:b w:val="0"/>
          <w:i w:val="0"/>
          <w:sz w:val="22"/>
        </w:rPr>
        <w:t>Nach 534.000,00 EUR (Nordhafen Immobilien UG, 11:25 Uhr) werden keine weiteren Gebote abgegeben. Die Rechtspflegerin wartet die gesetzliche Dreimal-Frist ab. Sie verliest das Höchstgebot dreimal und fragt nach weiteren Geboten. Keine weiteren Gebote erfolgen.</w:t>
      </w:r>
    </w:p>
    <w:p>
      <w:pPr>
        <w:spacing w:after="120"/>
      </w:pPr>
      <w:r>
        <w:rPr>
          <w:rFonts w:ascii="Calibri" w:hAnsi="Calibri"/>
          <w:b w:val="0"/>
          <w:i w:val="0"/>
          <w:sz w:val="22"/>
        </w:rPr>
        <w:t>Der Biettermin endet um 11:47 Uhr.</w:t>
      </w:r>
    </w:p>
    <w:p>
      <w:pPr>
        <w:spacing w:before="240" w:after="80"/>
        <w:jc w:val="left"/>
      </w:pPr>
      <w:r>
        <w:rPr>
          <w:rFonts w:ascii="Calibri" w:hAnsi="Calibri"/>
          <w:b/>
          <w:i w:val="0"/>
          <w:sz w:val="22"/>
        </w:rPr>
        <w:t>Höchstgebot:</w:t>
      </w:r>
    </w:p>
    <w:tbl>
      <w:tblPr>
        <w:tblStyle w:val="TableGrid"/>
        <w:tblW w:type="auto" w:w="0"/>
        <w:tblLook w:firstColumn="1" w:firstRow="1" w:lastColumn="0" w:lastRow="0" w:noHBand="0" w:noVBand="1" w:val="04A0"/>
      </w:tblPr>
      <w:tblGrid>
        <w:gridCol w:w="4703"/>
        <w:gridCol w:w="4703"/>
      </w:tblGrid>
      <w:tr>
        <w:tc>
          <w:tcPr>
            <w:tcW w:type="dxa" w:w="5669"/>
            <w:shd w:val="clear" w:color="auto" w:fill="D9E1F2"/>
          </w:tcPr>
          <w:p>
            <w:pPr>
              <w:jc w:val="center"/>
            </w:pPr>
            <w:r>
              <w:rPr>
                <w:rFonts w:ascii="Calibri" w:hAnsi="Calibri"/>
                <w:b/>
                <w:i w:val="0"/>
                <w:sz w:val="20"/>
              </w:rPr>
              <w:t>Bieter</w:t>
            </w:r>
          </w:p>
        </w:tc>
        <w:tc>
          <w:tcPr>
            <w:tcW w:type="dxa" w:w="3969"/>
            <w:shd w:val="clear" w:color="auto" w:fill="D9E1F2"/>
          </w:tcPr>
          <w:p>
            <w:pPr>
              <w:jc w:val="center"/>
            </w:pPr>
            <w:r>
              <w:rPr>
                <w:rFonts w:ascii="Calibri" w:hAnsi="Calibri"/>
                <w:b/>
                <w:i w:val="0"/>
                <w:sz w:val="20"/>
              </w:rPr>
              <w:t>Bargebot</w:t>
            </w:r>
          </w:p>
        </w:tc>
      </w:tr>
      <w:tr>
        <w:tc>
          <w:tcPr>
            <w:tcW w:type="dxa" w:w="5669"/>
          </w:tcPr>
          <w:p>
            <w:r>
              <w:rPr>
                <w:rFonts w:ascii="Calibri" w:hAnsi="Calibri"/>
                <w:b w:val="0"/>
                <w:i w:val="0"/>
                <w:sz w:val="20"/>
              </w:rPr>
              <w:t>Nordhafen Immobilien UG, vertr. d. GF Paul Körner</w:t>
            </w:r>
          </w:p>
        </w:tc>
        <w:tc>
          <w:tcPr>
            <w:tcW w:type="dxa" w:w="3969"/>
          </w:tcPr>
          <w:p>
            <w:r>
              <w:rPr>
                <w:rFonts w:ascii="Calibri" w:hAnsi="Calibri"/>
                <w:b w:val="0"/>
                <w:i w:val="0"/>
                <w:sz w:val="20"/>
              </w:rPr>
              <w:t>534.000,00 EUR</w:t>
            </w:r>
          </w:p>
        </w:tc>
      </w:tr>
    </w:tbl>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V. Schutzgrenzen und Anträge (Paragrafen 74a, 85a ZVG)</w:t>
      </w:r>
    </w:p>
    <w:p>
      <w:pPr>
        <w:spacing w:after="120"/>
      </w:pPr>
      <w:r>
        <w:rPr>
          <w:rFonts w:ascii="Calibri" w:hAnsi="Calibri"/>
          <w:b w:val="0"/>
          <w:i w:val="0"/>
          <w:sz w:val="22"/>
        </w:rPr>
        <w:t>Die Rechtspflegerin weist darauf hin, dass das Höchstgebot von 534.000,00 EUR die 7/10-Grenze (479.500,00 EUR) übersteigt. Eine Versagung nach Paragraf 74a ZVG ist damit nicht möglich.</w:t>
      </w:r>
    </w:p>
    <w:p>
      <w:pPr>
        <w:spacing w:after="120"/>
      </w:pPr>
      <w:r>
        <w:rPr>
          <w:rFonts w:ascii="Calibri" w:hAnsi="Calibri"/>
          <w:b w:val="0"/>
          <w:i w:val="0"/>
          <w:sz w:val="22"/>
        </w:rPr>
        <w:t>Die Schuldnerseite (RAin Dr. Mester) stellt keinen Antrag nach Paragraf 74a ZVG. Die betreibende Gläubigerin stimmt dem Zuschlag ausdrücklich zu. Weitere Anträge werden nicht gestellt.</w:t>
      </w:r>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VI. Zuschlagsentscheidung (Paragrafen 81, 83 ZVG)</w:t>
      </w:r>
    </w:p>
    <w:p>
      <w:pPr>
        <w:spacing w:after="120"/>
      </w:pPr>
      <w:r>
        <w:rPr>
          <w:rFonts w:ascii="Calibri" w:hAnsi="Calibri"/>
          <w:b w:val="0"/>
          <w:i w:val="0"/>
          <w:sz w:val="22"/>
        </w:rPr>
        <w:t>Nachdem keine Versagungsgründe vorliegen und die Rechtspflegerin keine Hindernisse festgestellt hat, erteilt sie den Zuschlag.</w:t>
      </w:r>
    </w:p>
    <w:p>
      <w:pPr>
        <w:jc w:val="center"/>
      </w:pPr>
      <w:r>
        <w:rPr>
          <w:rFonts w:ascii="Calibri" w:hAnsi="Calibri"/>
          <w:b/>
          <w:i w:val="0"/>
          <w:sz w:val="26"/>
        </w:rPr>
        <w:t>Der Zuschlag wird erteilt.</w:t>
      </w:r>
    </w:p>
    <w:tbl>
      <w:tblPr>
        <w:tblStyle w:val="TableGrid"/>
        <w:tblW w:type="auto" w:w="0"/>
        <w:tblLook w:firstColumn="1" w:firstRow="1" w:lastColumn="0" w:lastRow="0" w:noHBand="0" w:noVBand="1" w:val="04A0"/>
      </w:tblPr>
      <w:tblGrid>
        <w:gridCol w:w="4703"/>
        <w:gridCol w:w="4703"/>
      </w:tblGrid>
      <w:tr>
        <w:tc>
          <w:tcPr>
            <w:tcW w:type="dxa" w:w="2835"/>
            <w:shd w:val="clear" w:color="auto" w:fill="D9E1F2"/>
          </w:tcPr>
          <w:p>
            <w:pPr>
              <w:jc w:val="center"/>
            </w:pPr>
            <w:r>
              <w:rPr>
                <w:rFonts w:ascii="Calibri" w:hAnsi="Calibri"/>
                <w:b/>
                <w:i w:val="0"/>
                <w:sz w:val="20"/>
              </w:rPr>
              <w:t>Feld</w:t>
            </w:r>
          </w:p>
        </w:tc>
        <w:tc>
          <w:tcPr>
            <w:tcW w:type="dxa" w:w="6236"/>
            <w:shd w:val="clear" w:color="auto" w:fill="D9E1F2"/>
          </w:tcPr>
          <w:p>
            <w:pPr>
              <w:jc w:val="center"/>
            </w:pPr>
            <w:r>
              <w:rPr>
                <w:rFonts w:ascii="Calibri" w:hAnsi="Calibri"/>
                <w:b/>
                <w:i w:val="0"/>
                <w:sz w:val="20"/>
              </w:rPr>
              <w:t>Inhalt</w:t>
            </w:r>
          </w:p>
        </w:tc>
      </w:tr>
      <w:tr>
        <w:tc>
          <w:tcPr>
            <w:tcW w:type="dxa" w:w="2835"/>
          </w:tcPr>
          <w:p>
            <w:r>
              <w:rPr>
                <w:rFonts w:ascii="Calibri" w:hAnsi="Calibri"/>
                <w:b w:val="0"/>
                <w:i w:val="0"/>
                <w:sz w:val="20"/>
              </w:rPr>
              <w:t>Zuschlag an</w:t>
            </w:r>
          </w:p>
        </w:tc>
        <w:tc>
          <w:tcPr>
            <w:tcW w:type="dxa" w:w="6236"/>
          </w:tcPr>
          <w:p>
            <w:r>
              <w:rPr>
                <w:rFonts w:ascii="Calibri" w:hAnsi="Calibri"/>
                <w:b w:val="0"/>
                <w:i w:val="0"/>
                <w:sz w:val="20"/>
              </w:rPr>
              <w:t>Nordhafen Immobilien UG</w:t>
            </w:r>
          </w:p>
        </w:tc>
      </w:tr>
      <w:tr>
        <w:tc>
          <w:tcPr>
            <w:tcW w:type="dxa" w:w="2835"/>
          </w:tcPr>
          <w:p>
            <w:r>
              <w:rPr>
                <w:rFonts w:ascii="Calibri" w:hAnsi="Calibri"/>
                <w:b w:val="0"/>
                <w:i w:val="0"/>
                <w:sz w:val="20"/>
              </w:rPr>
              <w:t>Bargebot</w:t>
            </w:r>
          </w:p>
        </w:tc>
        <w:tc>
          <w:tcPr>
            <w:tcW w:type="dxa" w:w="6236"/>
          </w:tcPr>
          <w:p>
            <w:r>
              <w:rPr>
                <w:rFonts w:ascii="Calibri" w:hAnsi="Calibri"/>
                <w:b w:val="0"/>
                <w:i w:val="0"/>
                <w:sz w:val="20"/>
              </w:rPr>
              <w:t>534.000,00 EUR</w:t>
            </w:r>
          </w:p>
        </w:tc>
      </w:tr>
      <w:tr>
        <w:tc>
          <w:tcPr>
            <w:tcW w:type="dxa" w:w="2835"/>
          </w:tcPr>
          <w:p>
            <w:r>
              <w:rPr>
                <w:rFonts w:ascii="Calibri" w:hAnsi="Calibri"/>
                <w:b w:val="0"/>
                <w:i w:val="0"/>
                <w:sz w:val="20"/>
              </w:rPr>
              <w:t>Zuschlagszeit</w:t>
            </w:r>
          </w:p>
        </w:tc>
        <w:tc>
          <w:tcPr>
            <w:tcW w:type="dxa" w:w="6236"/>
          </w:tcPr>
          <w:p>
            <w:r>
              <w:rPr>
                <w:rFonts w:ascii="Calibri" w:hAnsi="Calibri"/>
                <w:b w:val="0"/>
                <w:i w:val="0"/>
                <w:sz w:val="20"/>
              </w:rPr>
              <w:t>12:02 Uhr, 16.07.2026</w:t>
            </w:r>
          </w:p>
        </w:tc>
      </w:tr>
      <w:tr>
        <w:tc>
          <w:tcPr>
            <w:tcW w:type="dxa" w:w="2835"/>
          </w:tcPr>
          <w:p>
            <w:r>
              <w:rPr>
                <w:rFonts w:ascii="Calibri" w:hAnsi="Calibri"/>
                <w:b w:val="0"/>
                <w:i w:val="0"/>
                <w:sz w:val="20"/>
              </w:rPr>
              <w:t>Rechtspflegerin</w:t>
            </w:r>
          </w:p>
        </w:tc>
        <w:tc>
          <w:tcPr>
            <w:tcW w:type="dxa" w:w="6236"/>
          </w:tcPr>
          <w:p>
            <w:r>
              <w:rPr>
                <w:rFonts w:ascii="Calibri" w:hAnsi="Calibri"/>
                <w:b w:val="0"/>
                <w:i w:val="0"/>
                <w:sz w:val="20"/>
              </w:rPr>
              <w:t>Sabine Tönnies</w:t>
            </w:r>
          </w:p>
        </w:tc>
      </w:tr>
    </w:tbl>
    <w:p/>
    <w:p>
      <w:pPr>
        <w:spacing w:after="120"/>
      </w:pPr>
      <w:r>
        <w:rPr>
          <w:rFonts w:ascii="Calibri" w:hAnsi="Calibri"/>
          <w:b w:val="0"/>
          <w:i w:val="0"/>
          <w:sz w:val="22"/>
        </w:rPr>
        <w:t>Der Ersteher nimmt den Zuschlag an. Die Rechtspflegerin belehrt über die Folgen des Zuschlags (Paragraf 91 ZVG: Übergang von Besitz, Gefahr und Nutzen auf den Ersteher; Erlöschen der Grundpfandrechte; Entstehung der Zahlungspflicht). Der gesonderte Zuschlagsbeschluss wird zugestellt.</w:t>
      </w:r>
    </w:p>
    <w:p>
      <w:pPr>
        <w:spacing w:before="80" w:after="80"/>
      </w:pPr>
      <w:r>
        <w:rPr>
          <w:rFonts w:ascii="Calibri" w:hAnsi="Calibri"/>
          <w:b w:val="0"/>
          <w:i w:val="0"/>
          <w:color w:val="969696"/>
          <w:sz w:val="16"/>
        </w:rPr>
        <w:t>──────────────────────────────────────────────────────────────────────</w:t>
      </w:r>
    </w:p>
    <w:p>
      <w:pPr>
        <w:spacing w:before="240" w:after="80"/>
        <w:jc w:val="left"/>
      </w:pPr>
      <w:r>
        <w:rPr>
          <w:rFonts w:ascii="Calibri" w:hAnsi="Calibri"/>
          <w:b/>
          <w:i w:val="0"/>
          <w:sz w:val="26"/>
        </w:rPr>
        <w:t>VII. Protokollschluss</w:t>
      </w:r>
    </w:p>
    <w:p>
      <w:pPr>
        <w:spacing w:after="120"/>
      </w:pPr>
      <w:r>
        <w:rPr>
          <w:rFonts w:ascii="Calibri" w:hAnsi="Calibri"/>
          <w:b w:val="0"/>
          <w:i w:val="0"/>
          <w:sz w:val="22"/>
        </w:rPr>
        <w:t>Das Protokoll wird von der Urkundsbeamtin Petra Lüthje verlesen. Die Rechtspflegerin Sabine Tönnies genehmigt das Protokoll. Der Termin endet um 12:47 Uhr.</w:t>
      </w:r>
    </w:p>
    <w:p/>
    <w:p>
      <w:pPr>
        <w:spacing w:after="120"/>
      </w:pPr>
      <w:r>
        <w:rPr>
          <w:rFonts w:ascii="Calibri" w:hAnsi="Calibri"/>
          <w:b w:val="0"/>
          <w:i w:val="0"/>
          <w:sz w:val="22"/>
        </w:rPr>
        <w:t>Hamburg, 16.07.2026</w:t>
      </w:r>
    </w:p>
    <w:p/>
    <w:tbl>
      <w:tblPr>
        <w:tblStyle w:val="TableGrid"/>
        <w:tblW w:type="auto" w:w="0"/>
        <w:tblLook w:firstColumn="1" w:firstRow="1" w:lastColumn="0" w:lastRow="0" w:noHBand="0" w:noVBand="1" w:val="04A0"/>
      </w:tblPr>
      <w:tblGrid>
        <w:gridCol w:w="4703"/>
        <w:gridCol w:w="4703"/>
      </w:tblGrid>
      <w:tr>
        <w:tc>
          <w:tcPr>
            <w:tcW w:type="dxa" w:w="4535"/>
            <w:shd w:val="clear" w:color="auto" w:fill="D9E1F2"/>
          </w:tcPr>
          <w:p>
            <w:pPr>
              <w:jc w:val="center"/>
            </w:pPr>
            <w:r>
              <w:rPr>
                <w:rFonts w:ascii="Calibri" w:hAnsi="Calibri"/>
                <w:b/>
                <w:i w:val="0"/>
                <w:sz w:val="20"/>
              </w:rPr>
              <w:t>Sabine Tönnies</w:t>
            </w:r>
          </w:p>
        </w:tc>
        <w:tc>
          <w:tcPr>
            <w:tcW w:type="dxa" w:w="4535"/>
            <w:shd w:val="clear" w:color="auto" w:fill="D9E1F2"/>
          </w:tcPr>
          <w:p>
            <w:pPr>
              <w:jc w:val="center"/>
            </w:pPr>
            <w:r>
              <w:rPr>
                <w:rFonts w:ascii="Calibri" w:hAnsi="Calibri"/>
                <w:b/>
                <w:i w:val="0"/>
                <w:sz w:val="20"/>
              </w:rPr>
              <w:t>Petra Lüthje</w:t>
            </w:r>
          </w:p>
        </w:tc>
      </w:tr>
      <w:tr>
        <w:tc>
          <w:tcPr>
            <w:tcW w:type="dxa" w:w="4535"/>
          </w:tcPr>
          <w:p>
            <w:r>
              <w:rPr>
                <w:rFonts w:ascii="Calibri" w:hAnsi="Calibri"/>
                <w:b w:val="0"/>
                <w:i w:val="0"/>
                <w:sz w:val="20"/>
              </w:rPr>
              <w:t>Rechtspflegerin</w:t>
            </w:r>
          </w:p>
        </w:tc>
        <w:tc>
          <w:tcPr>
            <w:tcW w:type="dxa" w:w="4535"/>
          </w:tcPr>
          <w:p>
            <w:r>
              <w:rPr>
                <w:rFonts w:ascii="Calibri" w:hAnsi="Calibri"/>
                <w:b w:val="0"/>
                <w:i w:val="0"/>
                <w:sz w:val="20"/>
              </w:rPr>
              <w:t>Urkundsbeamtin der Geschäftsstelle</w:t>
            </w:r>
          </w:p>
        </w:tc>
      </w:tr>
    </w:tbl>
    <w:p/>
    <w:p>
      <w:pPr>
        <w:spacing w:before="80" w:after="80"/>
      </w:pPr>
      <w:r>
        <w:rPr>
          <w:rFonts w:ascii="Calibri" w:hAnsi="Calibri"/>
          <w:b w:val="0"/>
          <w:i w:val="0"/>
          <w:color w:val="969696"/>
          <w:sz w:val="16"/>
        </w:rPr>
        <w:t>──────────────────────────────────────────────────────────────────────</w:t>
      </w:r>
    </w:p>
    <w:sectPr w:rsidR="00FC693F" w:rsidRPr="0006063C" w:rsidSect="00034616">
      <w:headerReference w:type="default" r:id="rId9"/>
      <w:foot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sz w:val="18"/>
      </w:rPr>
      <w:t>71 K 18/26 – Versteigerungstermin-Protokoll 16.07.2026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