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Prof. Dr. Markus Steinbach, Rechtsanwalt</w:t>
      </w:r>
    </w:p>
    <w:p>
      <w:pPr>
        <w:pStyle w:val="Heading1"/>
      </w:pPr>
      <w:r>
        <w:t>Verteidigungsschrift im Hauptverfahren gegen Sebastian Richter</w:t>
      </w:r>
    </w:p>
    <w:p>
      <w:r>
        <w:t>Az. 933 Cs 78/25, nach Einspruch nunmehr Hauptverfahren vor dem Amtsgericht Frankfurt am Main, Schoeffengericht.</w:t>
      </w:r>
    </w:p>
    <w:p>
      <w:pPr>
        <w:pStyle w:val="Heading2"/>
      </w:pPr>
      <w:r>
        <w:t>Verteidigungslinie</w:t>
      </w:r>
    </w:p>
    <w:p>
      <w:r>
        <w:t>Der Angeklagte bestreitet nicht die objektiven Umstaende der unterlassenen Buchfuehrung, macht jedoch geltend, dass die interne Aufgabenverteilung mit Herrn Weber nicht so eindeutig war, wie es das Gutachten der Steuerberatung suggeriert, und dass beide Geschaeftsfuehrer gleichermassen fuer die Buchfuehrung verantwortlich waren. Zudem wird geltend gemacht, dass die Deckungslueckenberechnung des Privatgutachtens methodisch angreifbar sei, da wesentliche Forderungen aus laufenden Projekten nicht beruecksichtigt worden seien.</w:t>
      </w:r>
    </w:p>
    <w:p>
      <w:pPr>
        <w:pStyle w:val="Heading2"/>
      </w:pPr>
      <w:r>
        <w:t>Beweisantraege</w:t>
      </w:r>
    </w:p>
    <w:p>
      <w:r>
        <w:t>Es wird beantragt, ein weiteres Sachverstaendigengutachten zur Bestimmung des Zeitpunkts der Zahlungsunfaehigkeit einzuholen sowie Herrn Weber als Zeugen zur internen Aufgabenverteilung zu vernehmen.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