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Amtsgericht Frankfurt am Main - Schoeffengericht</w:t>
      </w:r>
    </w:p>
    <w:p>
      <w:pPr>
        <w:pStyle w:val="Heading1"/>
      </w:pPr>
      <w:r>
        <w:t>Protokoll der Hauptverhandlung</w:t>
      </w:r>
    </w:p>
    <w:p>
      <w:r>
        <w:t>Az. 933 Cs 78/25, Sitzung vom 14.05.2025, Beginn 09:00 Uhr, Ende 15:40 Uhr.</w:t>
      </w:r>
    </w:p>
    <w:p>
      <w:r>
        <w:t>Anwesend: Vorsitzende Richterin am Amtsgericht Bäumler, zwei Schoeffen, Staatsanwaeltin Dr. Petersen, Verteidiger Prof. Dr. Steinbach, Angeklagter Sebastian Richter.</w:t>
      </w:r>
    </w:p>
    <w:p>
      <w:pPr>
        <w:pStyle w:val="Heading2"/>
      </w:pPr>
      <w:r>
        <w:t>Beweisaufnahme</w:t>
      </w:r>
    </w:p>
    <w:p>
      <w:r>
        <w:t>Verlesung der Urkunden (Jahresabschluesse, BWA, Kontoauszuege). Vernehmung des Sachverstaendigen Prof. Dr. Rahn zu ihrem Gutachten; Vernehmung der Zeugin Sorger (Buchhalterin) und des Zeugen Klingmann (Steuerberater). Der Beweisantrag der Verteidigung auf Einholung eines weiteren Gutachtens wird mit Beschluss vom selben Tag abgelehnt, da die Kammer sich fuer ausreichend sachkundig haelt.</w:t>
      </w:r>
    </w:p>
    <w:p>
      <w:pPr>
        <w:pStyle w:val="Heading2"/>
      </w:pPr>
      <w:r>
        <w:t>Plaedoyers</w:t>
      </w:r>
    </w:p>
    <w:p>
      <w:r>
        <w:t>Die Staatsanwaeltin beantragt eine Geldstrafe von 180 Tagessaetzen zu je EUR 70,00. Die Verteidigung beantragt Freispruch, hilfsweise eine mildere Geldstrafe wegen geteilter Verantwortung.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