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8"/>
        </w:rPr>
        <w:t>Amtsgericht Frankfurt am Main - Schoeffengericht</w:t>
      </w:r>
    </w:p>
    <w:p>
      <w:pPr>
        <w:pStyle w:val="Heading1"/>
      </w:pPr>
      <w:r>
        <w:t>Urteil</w:t>
      </w:r>
    </w:p>
    <w:p>
      <w:r>
        <w:t>Az. 933 Cs 78/25, verkuendet am 14.05.2025.</w:t>
      </w:r>
    </w:p>
    <w:p>
      <w:pPr>
        <w:pStyle w:val="Heading2"/>
      </w:pPr>
      <w:r>
        <w:t>Tenor</w:t>
      </w:r>
    </w:p>
    <w:p>
      <w:r>
        <w:t>Der Angeklagte Sebastian Richter wird wegen Verletzung der Buchfuehrungspflicht gemaess § 283b Abs. 1 Nr. 1, Abs. 3 iVm § 283 Abs. 6 StGB zu einer Geldstrafe von 150 Tagessaetzen zu je EUR 65,00 verurteilt.</w:t>
      </w:r>
    </w:p>
    <w:p>
      <w:pPr>
        <w:pStyle w:val="Heading2"/>
      </w:pPr>
      <w:r>
        <w:t>Gruende (Auszug)</w:t>
      </w:r>
    </w:p>
    <w:p>
      <w:r>
        <w:t>Das Gericht folgt im Wesentlichen dem Gutachten von Prof. Dr. Rahn zum Eintritt der Zahlungsunfaehigkeit zum 01.02.2024, beruecksichtigt jedoch strafmildernd, dass der Angeklagte keine Vorstrafen aufweist und die Insolvenzmasse letztlich durch den Eigenantrag seines Mitgeschaeftsfuehrers Weber immerhin zeitnah dem Verfahren zugefuehrt wurde. Die Geldstrafe bleibt hinter dem Antrag der Staatsanwaltschaft zurueck, da eine hoehere Eigenverantwortung von Herrn Weber fuer die operative Aufgabenverteilung nicht vollstaendig ausgeschlossen werden konnte.</w:t>
      </w:r>
    </w:p>
    <w:p>
      <w:r>
        <w:t>Rechtsmittelbelehrung: Gegen dieses Urteil kann binnen einer Woche nach Zustellung Berufung eingelegt werden.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