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Gesellschafterliste, aktuelle und historische Fassung</w:t>
      </w:r>
    </w:p>
    <w:p>
      <w:pPr>
        <w:pStyle w:val="Heading2"/>
      </w:pPr>
      <w:r>
        <w:t>1 Aktuelle Gesellschafterliste, eingereicht am 19.09.2025</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sz w:val="20"/>
              </w:rPr>
              <w:t>Lfd. Nr.</w:t>
            </w:r>
          </w:p>
        </w:tc>
        <w:tc>
          <w:tcPr>
            <w:tcW w:type="dxa" w:w="1728"/>
          </w:tcPr>
          <w:p>
            <w:r/>
            <w:r>
              <w:rPr>
                <w:rFonts w:ascii="Times New Roman" w:hAnsi="Times New Roman"/>
                <w:b/>
                <w:sz w:val="20"/>
              </w:rPr>
              <w:t>Gesellschafter</w:t>
            </w:r>
          </w:p>
        </w:tc>
        <w:tc>
          <w:tcPr>
            <w:tcW w:type="dxa" w:w="1728"/>
          </w:tcPr>
          <w:p>
            <w:r/>
            <w:r>
              <w:rPr>
                <w:rFonts w:ascii="Times New Roman" w:hAnsi="Times New Roman"/>
                <w:b/>
                <w:sz w:val="20"/>
              </w:rPr>
              <w:t>Geburtsdatum/Sitz</w:t>
            </w:r>
          </w:p>
        </w:tc>
        <w:tc>
          <w:tcPr>
            <w:tcW w:type="dxa" w:w="1728"/>
          </w:tcPr>
          <w:p>
            <w:r/>
            <w:r>
              <w:rPr>
                <w:rFonts w:ascii="Times New Roman" w:hAnsi="Times New Roman"/>
                <w:b/>
                <w:sz w:val="20"/>
              </w:rPr>
              <w:t>Nennbetrag EUR</w:t>
            </w:r>
          </w:p>
        </w:tc>
        <w:tc>
          <w:tcPr>
            <w:tcW w:type="dxa" w:w="1728"/>
          </w:tcPr>
          <w:p>
            <w:r/>
            <w:r>
              <w:rPr>
                <w:rFonts w:ascii="Times New Roman" w:hAnsi="Times New Roman"/>
                <w:b/>
                <w:sz w:val="20"/>
              </w:rPr>
              <w:t>Anteil Prozent</w:t>
            </w:r>
          </w:p>
        </w:tc>
      </w:tr>
      <w:tr>
        <w:tc>
          <w:tcPr>
            <w:tcW w:type="dxa" w:w="1728"/>
          </w:tcPr>
          <w:p>
            <w:r/>
            <w:r>
              <w:rPr>
                <w:rFonts w:ascii="Times New Roman" w:hAnsi="Times New Roman"/>
                <w:sz w:val="20"/>
              </w:rPr>
              <w:t>1</w:t>
            </w:r>
          </w:p>
        </w:tc>
        <w:tc>
          <w:tcPr>
            <w:tcW w:type="dxa" w:w="1728"/>
          </w:tcPr>
          <w:p>
            <w:r/>
            <w:r>
              <w:rPr>
                <w:rFonts w:ascii="Times New Roman" w:hAnsi="Times New Roman"/>
                <w:sz w:val="20"/>
              </w:rPr>
              <w:t>FrankenHealth Ventures GmbH</w:t>
            </w:r>
          </w:p>
        </w:tc>
        <w:tc>
          <w:tcPr>
            <w:tcW w:type="dxa" w:w="1728"/>
          </w:tcPr>
          <w:p>
            <w:r/>
            <w:r>
              <w:rPr>
                <w:rFonts w:ascii="Times New Roman" w:hAnsi="Times New Roman"/>
                <w:sz w:val="20"/>
              </w:rPr>
              <w:t>Muenchen, HRB 234981</w:t>
            </w:r>
          </w:p>
        </w:tc>
        <w:tc>
          <w:tcPr>
            <w:tcW w:type="dxa" w:w="1728"/>
          </w:tcPr>
          <w:p>
            <w:r/>
            <w:r>
              <w:rPr>
                <w:rFonts w:ascii="Times New Roman" w:hAnsi="Times New Roman"/>
                <w:sz w:val="20"/>
              </w:rPr>
              <w:t>51000,00</w:t>
            </w:r>
          </w:p>
        </w:tc>
        <w:tc>
          <w:tcPr>
            <w:tcW w:type="dxa" w:w="1728"/>
          </w:tcPr>
          <w:p>
            <w:r/>
            <w:r>
              <w:rPr>
                <w:rFonts w:ascii="Times New Roman" w:hAnsi="Times New Roman"/>
                <w:sz w:val="20"/>
              </w:rPr>
              <w:t>51</w:t>
            </w:r>
          </w:p>
        </w:tc>
      </w:tr>
      <w:tr>
        <w:tc>
          <w:tcPr>
            <w:tcW w:type="dxa" w:w="1728"/>
          </w:tcPr>
          <w:p>
            <w:r/>
            <w:r>
              <w:rPr>
                <w:rFonts w:ascii="Times New Roman" w:hAnsi="Times New Roman"/>
                <w:sz w:val="20"/>
              </w:rPr>
              <w:t>2</w:t>
            </w:r>
          </w:p>
        </w:tc>
        <w:tc>
          <w:tcPr>
            <w:tcW w:type="dxa" w:w="1728"/>
          </w:tcPr>
          <w:p>
            <w:r/>
            <w:r>
              <w:rPr>
                <w:rFonts w:ascii="Times New Roman" w:hAnsi="Times New Roman"/>
                <w:sz w:val="20"/>
              </w:rPr>
              <w:t>Dr. Henrik Vogt</w:t>
            </w:r>
          </w:p>
        </w:tc>
        <w:tc>
          <w:tcPr>
            <w:tcW w:type="dxa" w:w="1728"/>
          </w:tcPr>
          <w:p>
            <w:r/>
            <w:r>
              <w:rPr>
                <w:rFonts w:ascii="Times New Roman" w:hAnsi="Times New Roman"/>
                <w:sz w:val="20"/>
              </w:rPr>
              <w:t>geboren 11.04.1979, Erlangen</w:t>
            </w:r>
          </w:p>
        </w:tc>
        <w:tc>
          <w:tcPr>
            <w:tcW w:type="dxa" w:w="1728"/>
          </w:tcPr>
          <w:p>
            <w:r/>
            <w:r>
              <w:rPr>
                <w:rFonts w:ascii="Times New Roman" w:hAnsi="Times New Roman"/>
                <w:sz w:val="20"/>
              </w:rPr>
              <w:t>32000,00</w:t>
            </w:r>
          </w:p>
        </w:tc>
        <w:tc>
          <w:tcPr>
            <w:tcW w:type="dxa" w:w="1728"/>
          </w:tcPr>
          <w:p>
            <w:r/>
            <w:r>
              <w:rPr>
                <w:rFonts w:ascii="Times New Roman" w:hAnsi="Times New Roman"/>
                <w:sz w:val="20"/>
              </w:rPr>
              <w:t>32</w:t>
            </w:r>
          </w:p>
        </w:tc>
      </w:tr>
      <w:tr>
        <w:tc>
          <w:tcPr>
            <w:tcW w:type="dxa" w:w="1728"/>
          </w:tcPr>
          <w:p>
            <w:r/>
            <w:r>
              <w:rPr>
                <w:rFonts w:ascii="Times New Roman" w:hAnsi="Times New Roman"/>
                <w:sz w:val="20"/>
              </w:rPr>
              <w:t>3</w:t>
            </w:r>
          </w:p>
        </w:tc>
        <w:tc>
          <w:tcPr>
            <w:tcW w:type="dxa" w:w="1728"/>
          </w:tcPr>
          <w:p>
            <w:r/>
            <w:r>
              <w:rPr>
                <w:rFonts w:ascii="Times New Roman" w:hAnsi="Times New Roman"/>
                <w:sz w:val="20"/>
              </w:rPr>
              <w:t>Dr. Miriam Seidl</w:t>
            </w:r>
          </w:p>
        </w:tc>
        <w:tc>
          <w:tcPr>
            <w:tcW w:type="dxa" w:w="1728"/>
          </w:tcPr>
          <w:p>
            <w:r/>
            <w:r>
              <w:rPr>
                <w:rFonts w:ascii="Times New Roman" w:hAnsi="Times New Roman"/>
                <w:sz w:val="20"/>
              </w:rPr>
              <w:t>geboren 02.09.1981, Nuernberg</w:t>
            </w:r>
          </w:p>
        </w:tc>
        <w:tc>
          <w:tcPr>
            <w:tcW w:type="dxa" w:w="1728"/>
          </w:tcPr>
          <w:p>
            <w:r/>
            <w:r>
              <w:rPr>
                <w:rFonts w:ascii="Times New Roman" w:hAnsi="Times New Roman"/>
                <w:sz w:val="20"/>
              </w:rPr>
              <w:t>17000,00</w:t>
            </w:r>
          </w:p>
        </w:tc>
        <w:tc>
          <w:tcPr>
            <w:tcW w:type="dxa" w:w="1728"/>
          </w:tcPr>
          <w:p>
            <w:r/>
            <w:r>
              <w:rPr>
                <w:rFonts w:ascii="Times New Roman" w:hAnsi="Times New Roman"/>
                <w:sz w:val="20"/>
              </w:rPr>
              <w:t>17</w:t>
            </w:r>
          </w:p>
        </w:tc>
      </w:tr>
    </w:tbl>
    <w:p/>
    <w:p>
      <w:pPr>
        <w:pStyle w:val="Heading2"/>
      </w:pPr>
      <w:r>
        <w:t>2 Historische Gesellschafterliste, Stand Gruendung 14.11.2019</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Lfd. Nr.</w:t>
            </w:r>
          </w:p>
        </w:tc>
        <w:tc>
          <w:tcPr>
            <w:tcW w:type="dxa" w:w="2160"/>
          </w:tcPr>
          <w:p>
            <w:r/>
            <w:r>
              <w:rPr>
                <w:rFonts w:ascii="Times New Roman" w:hAnsi="Times New Roman"/>
                <w:b/>
                <w:sz w:val="20"/>
              </w:rPr>
              <w:t>Gesellschafter</w:t>
            </w:r>
          </w:p>
        </w:tc>
        <w:tc>
          <w:tcPr>
            <w:tcW w:type="dxa" w:w="2160"/>
          </w:tcPr>
          <w:p>
            <w:r/>
            <w:r>
              <w:rPr>
                <w:rFonts w:ascii="Times New Roman" w:hAnsi="Times New Roman"/>
                <w:b/>
                <w:sz w:val="20"/>
              </w:rPr>
              <w:t>Nennbetrag EUR</w:t>
            </w:r>
          </w:p>
        </w:tc>
        <w:tc>
          <w:tcPr>
            <w:tcW w:type="dxa" w:w="2160"/>
          </w:tcPr>
          <w:p>
            <w:r/>
            <w:r>
              <w:rPr>
                <w:rFonts w:ascii="Times New Roman" w:hAnsi="Times New Roman"/>
                <w:b/>
                <w:sz w:val="20"/>
              </w:rPr>
              <w:t>Anteil Prozent</w:t>
            </w:r>
          </w:p>
        </w:tc>
      </w:tr>
      <w:tr>
        <w:tc>
          <w:tcPr>
            <w:tcW w:type="dxa" w:w="2160"/>
          </w:tcPr>
          <w:p>
            <w:r/>
            <w:r>
              <w:rPr>
                <w:rFonts w:ascii="Times New Roman" w:hAnsi="Times New Roman"/>
                <w:sz w:val="20"/>
              </w:rPr>
              <w:t>1</w:t>
            </w:r>
          </w:p>
        </w:tc>
        <w:tc>
          <w:tcPr>
            <w:tcW w:type="dxa" w:w="2160"/>
          </w:tcPr>
          <w:p>
            <w:r/>
            <w:r>
              <w:rPr>
                <w:rFonts w:ascii="Times New Roman" w:hAnsi="Times New Roman"/>
                <w:sz w:val="20"/>
              </w:rPr>
              <w:t>Dr. Henrik Vogt</w:t>
            </w:r>
          </w:p>
        </w:tc>
        <w:tc>
          <w:tcPr>
            <w:tcW w:type="dxa" w:w="2160"/>
          </w:tcPr>
          <w:p>
            <w:r/>
            <w:r>
              <w:rPr>
                <w:rFonts w:ascii="Times New Roman" w:hAnsi="Times New Roman"/>
                <w:sz w:val="20"/>
              </w:rPr>
              <w:t>25000,00</w:t>
            </w:r>
          </w:p>
        </w:tc>
        <w:tc>
          <w:tcPr>
            <w:tcW w:type="dxa" w:w="2160"/>
          </w:tcPr>
          <w:p>
            <w:r/>
            <w:r>
              <w:rPr>
                <w:rFonts w:ascii="Times New Roman" w:hAnsi="Times New Roman"/>
                <w:sz w:val="20"/>
              </w:rPr>
              <w:t>100</w:t>
            </w:r>
          </w:p>
        </w:tc>
      </w:tr>
    </w:tbl>
    <w:p/>
    <w:p>
      <w:r>
        <w:rPr>
          <w:rFonts w:ascii="Times New Roman" w:hAnsi="Times New Roman"/>
          <w:b w:val="0"/>
          <w:i w:val="0"/>
          <w:sz w:val="22"/>
        </w:rPr>
        <w:t>Anmerkung zur Entwicklung: Dr. Vogt gruendete die Gesellschaft 2019 als Alleingesellschafter. Mit der Kapitalerhoehung vom 22.05.2021 traten die FrankenHealth Ventures GmbH und Frau Dr. Seidl gegen Bareinlage ein. Dr. Vogts Anteil sank rechnerisch von 100 Prozent auf 32 Prozent, ohne dass sich an der taeglichen Geschaeftsfuehrung zunaechst etwas aenderte.</w:t>
      </w:r>
    </w:p>
    <w:p>
      <w:pPr>
        <w:pStyle w:val="Heading2"/>
      </w:pPr>
      <w:r>
        <w:t>3 Veraenderungen seit Gruendung</w:t>
      </w:r>
    </w:p>
    <w:tbl>
      <w:tblPr>
        <w:tblStyle w:val="LightGrid-Accent1"/>
        <w:tblW w:type="auto" w:w="0"/>
        <w:tblLook w:firstColumn="1" w:firstRow="1" w:lastColumn="0" w:lastRow="0" w:noHBand="0" w:noVBand="1" w:val="04A0"/>
      </w:tblPr>
      <w:tblGrid>
        <w:gridCol w:w="4320"/>
        <w:gridCol w:w="4320"/>
      </w:tblGrid>
      <w:tr>
        <w:tc>
          <w:tcPr>
            <w:tcW w:type="dxa" w:w="4320"/>
          </w:tcPr>
          <w:p>
            <w:r/>
            <w:r>
              <w:rPr>
                <w:rFonts w:ascii="Times New Roman" w:hAnsi="Times New Roman"/>
                <w:b/>
                <w:sz w:val="20"/>
              </w:rPr>
              <w:t>Datum</w:t>
            </w:r>
          </w:p>
        </w:tc>
        <w:tc>
          <w:tcPr>
            <w:tcW w:type="dxa" w:w="4320"/>
          </w:tcPr>
          <w:p>
            <w:r/>
            <w:r>
              <w:rPr>
                <w:rFonts w:ascii="Times New Roman" w:hAnsi="Times New Roman"/>
                <w:b/>
                <w:sz w:val="20"/>
              </w:rPr>
              <w:t>Vorgang</w:t>
            </w:r>
          </w:p>
        </w:tc>
      </w:tr>
      <w:tr>
        <w:tc>
          <w:tcPr>
            <w:tcW w:type="dxa" w:w="4320"/>
          </w:tcPr>
          <w:p>
            <w:r/>
            <w:r>
              <w:rPr>
                <w:rFonts w:ascii="Times New Roman" w:hAnsi="Times New Roman"/>
                <w:sz w:val="20"/>
              </w:rPr>
              <w:t>14.11.2019</w:t>
            </w:r>
          </w:p>
        </w:tc>
        <w:tc>
          <w:tcPr>
            <w:tcW w:type="dxa" w:w="4320"/>
          </w:tcPr>
          <w:p>
            <w:r/>
            <w:r>
              <w:rPr>
                <w:rFonts w:ascii="Times New Roman" w:hAnsi="Times New Roman"/>
                <w:sz w:val="20"/>
              </w:rPr>
              <w:t>Gruendung, Alleingesellschafter Dr. Vogt, Stammkapital 25000,00 EUR</w:t>
            </w:r>
          </w:p>
        </w:tc>
      </w:tr>
      <w:tr>
        <w:tc>
          <w:tcPr>
            <w:tcW w:type="dxa" w:w="4320"/>
          </w:tcPr>
          <w:p>
            <w:r/>
            <w:r>
              <w:rPr>
                <w:rFonts w:ascii="Times New Roman" w:hAnsi="Times New Roman"/>
                <w:sz w:val="20"/>
              </w:rPr>
              <w:t>22.05.2021</w:t>
            </w:r>
          </w:p>
        </w:tc>
        <w:tc>
          <w:tcPr>
            <w:tcW w:type="dxa" w:w="4320"/>
          </w:tcPr>
          <w:p>
            <w:r/>
            <w:r>
              <w:rPr>
                <w:rFonts w:ascii="Times New Roman" w:hAnsi="Times New Roman"/>
                <w:sz w:val="20"/>
              </w:rPr>
              <w:t>Kapitalerhoehung auf 100000,00 EUR, Eintritt FrankenHealth Ventures GmbH (51 Prozent) und Dr. Seidl (17 Prozent)</w:t>
            </w:r>
          </w:p>
        </w:tc>
      </w:tr>
      <w:tr>
        <w:tc>
          <w:tcPr>
            <w:tcW w:type="dxa" w:w="4320"/>
          </w:tcPr>
          <w:p>
            <w:r/>
            <w:r>
              <w:rPr>
                <w:rFonts w:ascii="Times New Roman" w:hAnsi="Times New Roman"/>
                <w:sz w:val="20"/>
              </w:rPr>
              <w:t>06.03.2023</w:t>
            </w:r>
          </w:p>
        </w:tc>
        <w:tc>
          <w:tcPr>
            <w:tcW w:type="dxa" w:w="4320"/>
          </w:tcPr>
          <w:p>
            <w:r/>
            <w:r>
              <w:rPr>
                <w:rFonts w:ascii="Times New Roman" w:hAnsi="Times New Roman"/>
                <w:sz w:val="20"/>
              </w:rPr>
              <w:t>Neufassung Gesellschaftsvertrag, Einfuehrung Beirat</w:t>
            </w:r>
          </w:p>
        </w:tc>
      </w:tr>
      <w:tr>
        <w:tc>
          <w:tcPr>
            <w:tcW w:type="dxa" w:w="4320"/>
          </w:tcPr>
          <w:p>
            <w:r/>
            <w:r>
              <w:rPr>
                <w:rFonts w:ascii="Times New Roman" w:hAnsi="Times New Roman"/>
                <w:sz w:val="20"/>
              </w:rPr>
              <w:t>19.09.2025</w:t>
            </w:r>
          </w:p>
        </w:tc>
        <w:tc>
          <w:tcPr>
            <w:tcW w:type="dxa" w:w="4320"/>
          </w:tcPr>
          <w:p>
            <w:r/>
            <w:r>
              <w:rPr>
                <w:rFonts w:ascii="Times New Roman" w:hAnsi="Times New Roman"/>
                <w:sz w:val="20"/>
              </w:rPr>
              <w:t>Nachtrag Sperrminoritaet und Vinkulierung nach Gesellschafterstreit</w:t>
            </w:r>
          </w:p>
        </w:tc>
      </w:tr>
    </w:tbl>
    <w:p/>
    <w:p>
      <w:r>
        <w:rPr>
          <w:rFonts w:ascii="Times New Roman" w:hAnsi="Times New Roman"/>
          <w:b w:val="0"/>
          <w:i w:val="0"/>
          <w:sz w:val="22"/>
        </w:rPr>
        <w:t>Formathinweis: Dieses Aktenstück wird in Times New Roman, 11 pt, mit ausschließlich dezimaler Gliederung ausgegeben.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