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Gesellschafterbeschluss, Antrag auf Abberufung</w:t>
      </w:r>
    </w:p>
    <w:p>
      <w:r>
        <w:rPr>
          <w:rFonts w:ascii="Times New Roman" w:hAnsi="Times New Roman"/>
          <w:b w:val="0"/>
          <w:i w:val="0"/>
          <w:sz w:val="22"/>
        </w:rPr>
        <w:t>Ausserordentliche Gesellschafterversammlung der Neuralis MedTech GmbH vom 12.05.2026, Protokoll (Auszug)</w:t>
      </w:r>
    </w:p>
    <w:p>
      <w:pPr>
        <w:pStyle w:val="Heading2"/>
      </w:pPr>
      <w:r>
        <w:t>1 Anwesende</w:t>
      </w:r>
    </w:p>
    <w:p>
      <w:r>
        <w:rPr>
          <w:rFonts w:ascii="Times New Roman" w:hAnsi="Times New Roman"/>
          <w:b w:val="0"/>
          <w:i w:val="0"/>
          <w:sz w:val="22"/>
        </w:rPr>
        <w:t>Fuer die FrankenHealth Ventures GmbH: Herr Torben Aldenhoven, Partner. Dr. Henrik Vogt, persoenlich. Dr. Miriam Seidl, persoenlich.</w:t>
      </w:r>
    </w:p>
    <w:p>
      <w:pPr>
        <w:pStyle w:val="Heading2"/>
      </w:pPr>
      <w:r>
        <w:t>2 Tagesordnungspunkt: Antrag auf Abberufung des Geschaeftsfuehrers Dr. Vogt</w:t>
      </w:r>
    </w:p>
    <w:p>
      <w:r>
        <w:rPr>
          <w:rFonts w:ascii="Times New Roman" w:hAnsi="Times New Roman"/>
          <w:b w:val="0"/>
          <w:i w:val="0"/>
          <w:sz w:val="22"/>
        </w:rPr>
        <w:t>Herr Aldenhoven beantragt namens der FrankenHealth Ventures GmbH die Abberufung von Dr. Vogt als Geschaeftsfuehrer aus wichtigem Grund. Zur Begruendung fuehrt er an, Dr. Vogt habe die vom Beirat beschlossene Verschiebung von zwei Entwicklerstellen im Mai 2026 eigenmaechtig unterlaufen, indem er einen befristeten Werkvertrag mit einem externen Entwickler abschloss, ohne die Zustimmung des Beirats einzuholen.</w:t>
      </w:r>
    </w:p>
    <w:p>
      <w:r>
        <w:rPr>
          <w:rFonts w:ascii="Times New Roman" w:hAnsi="Times New Roman"/>
          <w:b w:val="0"/>
          <w:i w:val="0"/>
          <w:sz w:val="22"/>
        </w:rPr>
        <w:t>Dr. Vogt erwidert, der Werkvertrag falle mit einem Volumen von 42000,00 EUR unter die in Ziffer 5.1 des Geschaeftsfuehrervertrags genannte eigenstaendige Entscheidungsbefugnis bis 50000,00 EUR und sei keine Neueinstellung im Sinne von Ziffer 7.3.2 des Gesellschaftsvertrags.</w:t>
      </w:r>
    </w:p>
    <w:p>
      <w:pPr>
        <w:pStyle w:val="Heading2"/>
      </w:pPr>
      <w:r>
        <w:t>3 Abstimmung</w:t>
      </w:r>
    </w:p>
    <w:p>
      <w:r>
        <w:rPr>
          <w:rFonts w:ascii="Times New Roman" w:hAnsi="Times New Roman"/>
          <w:b w:val="0"/>
          <w:i w:val="0"/>
          <w:sz w:val="22"/>
        </w:rPr>
        <w:t>Ueber die Abberufung aus wichtigem Grund wird abgestimmt. Dr. Vogt ist gemaess Paragraf 6.3 Satz 2 des Gesellschaftsvertrags von der Stimmabgabe zu diesem Punkt ausgeschlossen.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Gesellschafter</w:t>
            </w:r>
          </w:p>
        </w:tc>
        <w:tc>
          <w:tcPr>
            <w:tcW w:type="dxa" w:w="2880"/>
          </w:tcPr>
          <w:p>
            <w:r/>
            <w:r>
              <w:rPr>
                <w:rFonts w:ascii="Times New Roman" w:hAnsi="Times New Roman"/>
                <w:b/>
                <w:sz w:val="20"/>
              </w:rPr>
              <w:t>Stimmen</w:t>
            </w:r>
          </w:p>
        </w:tc>
        <w:tc>
          <w:tcPr>
            <w:tcW w:type="dxa" w:w="2880"/>
          </w:tcPr>
          <w:p>
            <w:r/>
            <w:r>
              <w:rPr>
                <w:rFonts w:ascii="Times New Roman" w:hAnsi="Times New Roman"/>
                <w:b/>
                <w:sz w:val="20"/>
              </w:rPr>
              <w:t>Votum</w:t>
            </w:r>
          </w:p>
        </w:tc>
      </w:tr>
      <w:tr>
        <w:tc>
          <w:tcPr>
            <w:tcW w:type="dxa" w:w="2880"/>
          </w:tcPr>
          <w:p>
            <w:r/>
            <w:r>
              <w:rPr>
                <w:rFonts w:ascii="Times New Roman" w:hAnsi="Times New Roman"/>
                <w:sz w:val="20"/>
              </w:rPr>
              <w:t>FrankenHealth Ventures GmbH</w:t>
            </w:r>
          </w:p>
        </w:tc>
        <w:tc>
          <w:tcPr>
            <w:tcW w:type="dxa" w:w="2880"/>
          </w:tcPr>
          <w:p>
            <w:r/>
            <w:r>
              <w:rPr>
                <w:rFonts w:ascii="Times New Roman" w:hAnsi="Times New Roman"/>
                <w:sz w:val="20"/>
              </w:rPr>
              <w:t>51</w:t>
            </w:r>
          </w:p>
        </w:tc>
        <w:tc>
          <w:tcPr>
            <w:tcW w:type="dxa" w:w="2880"/>
          </w:tcPr>
          <w:p>
            <w:r/>
            <w:r>
              <w:rPr>
                <w:rFonts w:ascii="Times New Roman" w:hAnsi="Times New Roman"/>
                <w:sz w:val="20"/>
              </w:rPr>
              <w:t>dafuer</w:t>
            </w:r>
          </w:p>
        </w:tc>
      </w:tr>
      <w:tr>
        <w:tc>
          <w:tcPr>
            <w:tcW w:type="dxa" w:w="2880"/>
          </w:tcPr>
          <w:p>
            <w:r/>
            <w:r>
              <w:rPr>
                <w:rFonts w:ascii="Times New Roman" w:hAnsi="Times New Roman"/>
                <w:sz w:val="20"/>
              </w:rPr>
              <w:t>Dr. Miriam Seidl</w:t>
            </w:r>
          </w:p>
        </w:tc>
        <w:tc>
          <w:tcPr>
            <w:tcW w:type="dxa" w:w="2880"/>
          </w:tcPr>
          <w:p>
            <w:r/>
            <w:r>
              <w:rPr>
                <w:rFonts w:ascii="Times New Roman" w:hAnsi="Times New Roman"/>
                <w:sz w:val="20"/>
              </w:rPr>
              <w:t>17</w:t>
            </w:r>
          </w:p>
        </w:tc>
        <w:tc>
          <w:tcPr>
            <w:tcW w:type="dxa" w:w="2880"/>
          </w:tcPr>
          <w:p>
            <w:r/>
            <w:r>
              <w:rPr>
                <w:rFonts w:ascii="Times New Roman" w:hAnsi="Times New Roman"/>
                <w:sz w:val="20"/>
              </w:rPr>
              <w:t>dagegen</w:t>
            </w:r>
          </w:p>
        </w:tc>
      </w:tr>
      <w:tr>
        <w:tc>
          <w:tcPr>
            <w:tcW w:type="dxa" w:w="2880"/>
          </w:tcPr>
          <w:p>
            <w:r/>
            <w:r>
              <w:rPr>
                <w:rFonts w:ascii="Times New Roman" w:hAnsi="Times New Roman"/>
                <w:sz w:val="20"/>
              </w:rPr>
              <w:t>Dr. Henrik Vogt</w:t>
            </w:r>
          </w:p>
        </w:tc>
        <w:tc>
          <w:tcPr>
            <w:tcW w:type="dxa" w:w="2880"/>
          </w:tcPr>
          <w:p>
            <w:r/>
            <w:r>
              <w:rPr>
                <w:rFonts w:ascii="Times New Roman" w:hAnsi="Times New Roman"/>
                <w:sz w:val="20"/>
              </w:rPr>
              <w:t>32</w:t>
            </w:r>
          </w:p>
        </w:tc>
        <w:tc>
          <w:tcPr>
            <w:tcW w:type="dxa" w:w="2880"/>
          </w:tcPr>
          <w:p>
            <w:r/>
            <w:r>
              <w:rPr>
                <w:rFonts w:ascii="Times New Roman" w:hAnsi="Times New Roman"/>
                <w:sz w:val="20"/>
              </w:rPr>
              <w:t>kein Stimmrecht bei diesem Punkt</w:t>
            </w:r>
          </w:p>
        </w:tc>
      </w:tr>
    </w:tbl>
    <w:p/>
    <w:p>
      <w:r>
        <w:rPr>
          <w:rFonts w:ascii="Times New Roman" w:hAnsi="Times New Roman"/>
          <w:b w:val="0"/>
          <w:i w:val="0"/>
          <w:sz w:val="22"/>
        </w:rPr>
        <w:t>Ergebnis: 51 Stimmen dafuer, 17 Stimmen dagegen bei 32 Stimmen ohne Stimmrecht. Die nach Paragraf 6.3 erforderliche einfache Mehrheit der abgegebenen Stimmen (ohne den betroffenen Gesellschafter) ist erreicht. Dr. Seidl erklaert, sie halte den wichtigen Grund fuer nicht hinreichend belegt und kuendigt an, den Beschluss gesellschaftsrechtlich pruefen zu lassen.</w:t>
      </w:r>
    </w:p>
    <w:p>
      <w:pPr>
        <w:pStyle w:val="Heading2"/>
      </w:pPr>
      <w:r>
        <w:t>4 Weiteres Vorgehen</w:t>
      </w:r>
    </w:p>
    <w:p>
      <w:r>
        <w:rPr>
          <w:rFonts w:ascii="Times New Roman" w:hAnsi="Times New Roman"/>
          <w:b w:val="0"/>
          <w:i w:val="0"/>
          <w:sz w:val="22"/>
        </w:rPr>
        <w:t>Der Beschluss wird Dr. Vogt am 13.05.2026 zugestellt. Die Frist zur Anfechtung nach Paragraf 6.4 des Gesellschaftsvertrags laeuft einen Monat ab Zugang der Niederschrift. Getrennt zu beurteilen bleibt die Kuendigung des Anstellungsvertrags nach Ziffer 7.3 des Geschaeftsfuehrervertrags.</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