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Protokoll der Gesellschafterversammlung vom 02.09.2025</w:t>
      </w:r>
    </w:p>
    <w:p>
      <w:r>
        <w:rPr>
          <w:rFonts w:ascii="Times New Roman" w:hAnsi="Times New Roman"/>
          <w:b w:val="0"/>
          <w:i w:val="0"/>
          <w:sz w:val="22"/>
        </w:rPr>
        <w:t>Neuralis MedTech GmbH - außerordentliche Versammlung, Beginn 14:00 Uhr, Ende 17:40 Uhr, Notariat Dr. Reinboth</w:t>
      </w:r>
    </w:p>
    <w:p>
      <w:pPr>
        <w:pStyle w:val="Heading2"/>
      </w:pPr>
      <w:r>
        <w:t>1 Anwesende</w:t>
      </w:r>
    </w:p>
    <w:p>
      <w:r>
        <w:rPr>
          <w:rFonts w:ascii="Times New Roman" w:hAnsi="Times New Roman"/>
          <w:b w:val="0"/>
          <w:i w:val="0"/>
          <w:sz w:val="22"/>
        </w:rPr>
        <w:t>Torben Aldenhoven fuer FrankenHealth Ventures GmbH (51 Stimmen), Dr. Henrik Vogt (32 Stimmen), Dr. Miriam Seidl (17 Stimmen). Notar Dr. Alfons Reinboth beurkundend zugegen.</w:t>
      </w:r>
    </w:p>
    <w:p>
      <w:pPr>
        <w:pStyle w:val="Heading2"/>
      </w:pPr>
      <w:r>
        <w:t>2 Verlauf der Diskussion</w:t>
      </w:r>
    </w:p>
    <w:p>
      <w:r>
        <w:rPr>
          <w:rFonts w:ascii="Times New Roman" w:hAnsi="Times New Roman"/>
          <w:b w:val="0"/>
          <w:i w:val="0"/>
          <w:sz w:val="22"/>
        </w:rPr>
        <w:t>Herr Aldenhoven eroeffnet mit dem Hinweis, der Fonds sei nur bereit, Dr. Vogt eine Sperrminoritaet einzuraeumen, wenn diese strikt auf das Ressort Entwicklung begrenzt bleibe. Dr. Vogt fordert zunaechst eine Sperrminoritaet fuer alle strategischen Entscheidungen einschliesslich Finanzierungsrunden. Nach laengerer Diskussion und einer Sitzungsunterbrechung von 45 Minuten einigt man sich auf die enger gefasste Fassung.</w:t>
      </w:r>
    </w:p>
    <w:p>
      <w:r>
        <w:rPr>
          <w:rFonts w:ascii="Times New Roman" w:hAnsi="Times New Roman"/>
          <w:b w:val="0"/>
          <w:i w:val="0"/>
          <w:sz w:val="22"/>
        </w:rPr>
        <w:t>Dr. Seidl aeussert Bedenken, dass eine zu enge Fassung im laufenden DRV-Verfahren wenig hilfreich sei, stimmt aber letztlich mit den anderen fuer die vorgeschlagene Fassung, um den Konflikt beizulegen.</w:t>
      </w:r>
    </w:p>
    <w:p>
      <w:pPr>
        <w:pStyle w:val="Heading2"/>
      </w:pPr>
      <w:r>
        <w:t>3 Abstimmung ueber die Satzungsaenderung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Gesellschafter</w:t>
            </w:r>
          </w:p>
        </w:tc>
        <w:tc>
          <w:tcPr>
            <w:tcW w:type="dxa" w:w="2880"/>
          </w:tcPr>
          <w:p>
            <w:r/>
            <w:r>
              <w:rPr>
                <w:rFonts w:ascii="Times New Roman" w:hAnsi="Times New Roman"/>
                <w:b/>
                <w:sz w:val="20"/>
              </w:rPr>
              <w:t>Stimmen</w:t>
            </w:r>
          </w:p>
        </w:tc>
        <w:tc>
          <w:tcPr>
            <w:tcW w:type="dxa" w:w="2880"/>
          </w:tcPr>
          <w:p>
            <w:r/>
            <w:r>
              <w:rPr>
                <w:rFonts w:ascii="Times New Roman" w:hAnsi="Times New Roman"/>
                <w:b/>
                <w:sz w:val="20"/>
              </w:rPr>
              <w:t>Votum</w:t>
            </w:r>
          </w:p>
        </w:tc>
      </w:tr>
      <w:tr>
        <w:tc>
          <w:tcPr>
            <w:tcW w:type="dxa" w:w="2880"/>
          </w:tcPr>
          <w:p>
            <w:r/>
            <w:r>
              <w:rPr>
                <w:rFonts w:ascii="Times New Roman" w:hAnsi="Times New Roman"/>
                <w:sz w:val="20"/>
              </w:rPr>
              <w:t>FrankenHealth Ventures GmbH</w:t>
            </w:r>
          </w:p>
        </w:tc>
        <w:tc>
          <w:tcPr>
            <w:tcW w:type="dxa" w:w="2880"/>
          </w:tcPr>
          <w:p>
            <w:r/>
            <w:r>
              <w:rPr>
                <w:rFonts w:ascii="Times New Roman" w:hAnsi="Times New Roman"/>
                <w:sz w:val="20"/>
              </w:rPr>
              <w:t>51</w:t>
            </w:r>
          </w:p>
        </w:tc>
        <w:tc>
          <w:tcPr>
            <w:tcW w:type="dxa" w:w="2880"/>
          </w:tcPr>
          <w:p>
            <w:r/>
            <w:r>
              <w:rPr>
                <w:rFonts w:ascii="Times New Roman" w:hAnsi="Times New Roman"/>
                <w:sz w:val="20"/>
              </w:rPr>
              <w:t>dafuer</w:t>
            </w:r>
          </w:p>
        </w:tc>
      </w:tr>
      <w:tr>
        <w:tc>
          <w:tcPr>
            <w:tcW w:type="dxa" w:w="2880"/>
          </w:tcPr>
          <w:p>
            <w:r/>
            <w:r>
              <w:rPr>
                <w:rFonts w:ascii="Times New Roman" w:hAnsi="Times New Roman"/>
                <w:sz w:val="20"/>
              </w:rPr>
              <w:t>Dr. Henrik Vogt</w:t>
            </w:r>
          </w:p>
        </w:tc>
        <w:tc>
          <w:tcPr>
            <w:tcW w:type="dxa" w:w="2880"/>
          </w:tcPr>
          <w:p>
            <w:r/>
            <w:r>
              <w:rPr>
                <w:rFonts w:ascii="Times New Roman" w:hAnsi="Times New Roman"/>
                <w:sz w:val="20"/>
              </w:rPr>
              <w:t>32</w:t>
            </w:r>
          </w:p>
        </w:tc>
        <w:tc>
          <w:tcPr>
            <w:tcW w:type="dxa" w:w="2880"/>
          </w:tcPr>
          <w:p>
            <w:r/>
            <w:r>
              <w:rPr>
                <w:rFonts w:ascii="Times New Roman" w:hAnsi="Times New Roman"/>
                <w:sz w:val="20"/>
              </w:rPr>
              <w:t>dafuer</w:t>
            </w:r>
          </w:p>
        </w:tc>
      </w:tr>
      <w:tr>
        <w:tc>
          <w:tcPr>
            <w:tcW w:type="dxa" w:w="2880"/>
          </w:tcPr>
          <w:p>
            <w:r/>
            <w:r>
              <w:rPr>
                <w:rFonts w:ascii="Times New Roman" w:hAnsi="Times New Roman"/>
                <w:sz w:val="20"/>
              </w:rPr>
              <w:t>Dr. Miriam Seidl</w:t>
            </w:r>
          </w:p>
        </w:tc>
        <w:tc>
          <w:tcPr>
            <w:tcW w:type="dxa" w:w="2880"/>
          </w:tcPr>
          <w:p>
            <w:r/>
            <w:r>
              <w:rPr>
                <w:rFonts w:ascii="Times New Roman" w:hAnsi="Times New Roman"/>
                <w:sz w:val="20"/>
              </w:rPr>
              <w:t>17</w:t>
            </w:r>
          </w:p>
        </w:tc>
        <w:tc>
          <w:tcPr>
            <w:tcW w:type="dxa" w:w="2880"/>
          </w:tcPr>
          <w:p>
            <w:r/>
            <w:r>
              <w:rPr>
                <w:rFonts w:ascii="Times New Roman" w:hAnsi="Times New Roman"/>
                <w:sz w:val="20"/>
              </w:rPr>
              <w:t>dafuer</w:t>
            </w:r>
          </w:p>
        </w:tc>
      </w:tr>
    </w:tbl>
    <w:p/>
    <w:p>
      <w:r>
        <w:rPr>
          <w:rFonts w:ascii="Times New Roman" w:hAnsi="Times New Roman"/>
          <w:b w:val="0"/>
          <w:i w:val="0"/>
          <w:sz w:val="22"/>
        </w:rPr>
        <w:t>Ergebnis: Einstimmig angenommen (100 von 100 Stimmen).</w:t>
      </w:r>
    </w:p>
    <w:p>
      <w:pPr>
        <w:pStyle w:val="Heading2"/>
      </w:pPr>
      <w:r>
        <w:t>4 Sonstiges</w:t>
      </w:r>
    </w:p>
    <w:p>
      <w:r>
        <w:rPr>
          <w:rFonts w:ascii="Times New Roman" w:hAnsi="Times New Roman"/>
          <w:b w:val="0"/>
          <w:i w:val="0"/>
          <w:sz w:val="22"/>
        </w:rPr>
        <w:t>Dr. Vogt bittet um Protokollierung, dass er die Fassung nur als ersten Schritt akzeptiere und im naechsten Jahr eine Ausweitung verlangen werde. Der Vorsitzende nimmt dies zur Kenntnis, ohne eine Zusage zu machen.</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