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Zeugenliste und Belegverzeichnis</w:t>
      </w:r>
    </w:p>
    <w:p>
      <w:pPr>
        <w:pStyle w:val="Heading2"/>
      </w:pPr>
      <w:r>
        <w:t>1 Mögliche Zeugen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rFonts w:ascii="Times New Roman" w:hAnsi="Times New Roman"/>
                <w:b/>
                <w:sz w:val="20"/>
              </w:rPr>
              <w:t>Name</w:t>
            </w:r>
          </w:p>
        </w:tc>
        <w:tc>
          <w:tcPr>
            <w:tcW w:type="dxa" w:w="2880"/>
          </w:tcPr>
          <w:p>
            <w:r/>
            <w:r>
              <w:rPr>
                <w:rFonts w:ascii="Times New Roman" w:hAnsi="Times New Roman"/>
                <w:b/>
                <w:sz w:val="20"/>
              </w:rPr>
              <w:t>Rolle</w:t>
            </w:r>
          </w:p>
        </w:tc>
        <w:tc>
          <w:tcPr>
            <w:tcW w:type="dxa" w:w="2880"/>
          </w:tcPr>
          <w:p>
            <w:r/>
            <w:r>
              <w:rPr>
                <w:rFonts w:ascii="Times New Roman" w:hAnsi="Times New Roman"/>
                <w:b/>
                <w:sz w:val="20"/>
              </w:rPr>
              <w:t>Beweisthema</w:t>
            </w:r>
          </w:p>
        </w:tc>
      </w:tr>
      <w:tr>
        <w:tc>
          <w:tcPr>
            <w:tcW w:type="dxa" w:w="2880"/>
          </w:tcPr>
          <w:p>
            <w:r/>
            <w:r>
              <w:rPr>
                <w:rFonts w:ascii="Times New Roman" w:hAnsi="Times New Roman"/>
                <w:sz w:val="20"/>
              </w:rPr>
              <w:t>Prof. Dr. Cornelius Baumhauer</w:t>
            </w:r>
          </w:p>
        </w:tc>
        <w:tc>
          <w:tcPr>
            <w:tcW w:type="dxa" w:w="2880"/>
          </w:tcPr>
          <w:p>
            <w:r/>
            <w:r>
              <w:rPr>
                <w:rFonts w:ascii="Times New Roman" w:hAnsi="Times New Roman"/>
                <w:sz w:val="20"/>
              </w:rPr>
              <w:t>Beiratsvorsitzender</w:t>
            </w:r>
          </w:p>
        </w:tc>
        <w:tc>
          <w:tcPr>
            <w:tcW w:type="dxa" w:w="2880"/>
          </w:tcPr>
          <w:p>
            <w:r/>
            <w:r>
              <w:rPr>
                <w:rFonts w:ascii="Times New Roman" w:hAnsi="Times New Roman"/>
                <w:sz w:val="20"/>
              </w:rPr>
              <w:t>Handhabung der Zustimmungsvorbehalte und der Sperrminoritaet seit 2025</w:t>
            </w:r>
          </w:p>
        </w:tc>
      </w:tr>
      <w:tr>
        <w:tc>
          <w:tcPr>
            <w:tcW w:type="dxa" w:w="2880"/>
          </w:tcPr>
          <w:p>
            <w:r/>
            <w:r>
              <w:rPr>
                <w:rFonts w:ascii="Times New Roman" w:hAnsi="Times New Roman"/>
                <w:sz w:val="20"/>
              </w:rPr>
              <w:t>Dr. Miriam Seidl</w:t>
            </w:r>
          </w:p>
        </w:tc>
        <w:tc>
          <w:tcPr>
            <w:tcW w:type="dxa" w:w="2880"/>
          </w:tcPr>
          <w:p>
            <w:r/>
            <w:r>
              <w:rPr>
                <w:rFonts w:ascii="Times New Roman" w:hAnsi="Times New Roman"/>
                <w:sz w:val="20"/>
              </w:rPr>
              <w:t>Mitgesellschafterin, 17 Prozent</w:t>
            </w:r>
          </w:p>
        </w:tc>
        <w:tc>
          <w:tcPr>
            <w:tcW w:type="dxa" w:w="2880"/>
          </w:tcPr>
          <w:p>
            <w:r/>
            <w:r>
              <w:rPr>
                <w:rFonts w:ascii="Times New Roman" w:hAnsi="Times New Roman"/>
                <w:sz w:val="20"/>
              </w:rPr>
              <w:t>Abstimmungsverhalten, Wahrnehmung der faktischen Machtverhaeltnisse</w:t>
            </w:r>
          </w:p>
        </w:tc>
      </w:tr>
      <w:tr>
        <w:tc>
          <w:tcPr>
            <w:tcW w:type="dxa" w:w="2880"/>
          </w:tcPr>
          <w:p>
            <w:r/>
            <w:r>
              <w:rPr>
                <w:rFonts w:ascii="Times New Roman" w:hAnsi="Times New Roman"/>
                <w:sz w:val="20"/>
              </w:rPr>
              <w:t>Caroline Benkert</w:t>
            </w:r>
          </w:p>
        </w:tc>
        <w:tc>
          <w:tcPr>
            <w:tcW w:type="dxa" w:w="2880"/>
          </w:tcPr>
          <w:p>
            <w:r/>
            <w:r>
              <w:rPr>
                <w:rFonts w:ascii="Times New Roman" w:hAnsi="Times New Roman"/>
                <w:sz w:val="20"/>
              </w:rPr>
              <w:t>CFO Neuralis MedTech GmbH</w:t>
            </w:r>
          </w:p>
        </w:tc>
        <w:tc>
          <w:tcPr>
            <w:tcW w:type="dxa" w:w="2880"/>
          </w:tcPr>
          <w:p>
            <w:r/>
            <w:r>
              <w:rPr>
                <w:rFonts w:ascii="Times New Roman" w:hAnsi="Times New Roman"/>
                <w:sz w:val="20"/>
              </w:rPr>
              <w:t>Umgang mit Weisungen, Zahlungsfluesse, Buergschaft</w:t>
            </w:r>
          </w:p>
        </w:tc>
      </w:tr>
      <w:tr>
        <w:tc>
          <w:tcPr>
            <w:tcW w:type="dxa" w:w="2880"/>
          </w:tcPr>
          <w:p>
            <w:r/>
            <w:r>
              <w:rPr>
                <w:rFonts w:ascii="Times New Roman" w:hAnsi="Times New Roman"/>
                <w:sz w:val="20"/>
              </w:rPr>
              <w:t>Torben Aldenhoven</w:t>
            </w:r>
          </w:p>
        </w:tc>
        <w:tc>
          <w:tcPr>
            <w:tcW w:type="dxa" w:w="2880"/>
          </w:tcPr>
          <w:p>
            <w:r/>
            <w:r>
              <w:rPr>
                <w:rFonts w:ascii="Times New Roman" w:hAnsi="Times New Roman"/>
                <w:sz w:val="20"/>
              </w:rPr>
              <w:t>Partner FrankenHealth Ventures GmbH</w:t>
            </w:r>
          </w:p>
        </w:tc>
        <w:tc>
          <w:tcPr>
            <w:tcW w:type="dxa" w:w="2880"/>
          </w:tcPr>
          <w:p>
            <w:r/>
            <w:r>
              <w:rPr>
                <w:rFonts w:ascii="Times New Roman" w:hAnsi="Times New Roman"/>
                <w:sz w:val="20"/>
              </w:rPr>
              <w:t>Motive fuer die Satzungsaenderung 2025, Beteiligung an Abberufungsantrag</w:t>
            </w:r>
          </w:p>
        </w:tc>
      </w:tr>
    </w:tbl>
    <w:p/>
    <w:p>
      <w:pPr>
        <w:pStyle w:val="Heading2"/>
      </w:pPr>
      <w:r>
        <w:t>2 Belegverzeichnis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rFonts w:ascii="Times New Roman" w:hAnsi="Times New Roman"/>
                <w:b/>
                <w:sz w:val="20"/>
              </w:rPr>
              <w:t>Lfd. Nr.</w:t>
            </w:r>
          </w:p>
        </w:tc>
        <w:tc>
          <w:tcPr>
            <w:tcW w:type="dxa" w:w="2880"/>
          </w:tcPr>
          <w:p>
            <w:r/>
            <w:r>
              <w:rPr>
                <w:rFonts w:ascii="Times New Roman" w:hAnsi="Times New Roman"/>
                <w:b/>
                <w:sz w:val="20"/>
              </w:rPr>
              <w:t>Beleg</w:t>
            </w:r>
          </w:p>
        </w:tc>
        <w:tc>
          <w:tcPr>
            <w:tcW w:type="dxa" w:w="2880"/>
          </w:tcPr>
          <w:p>
            <w:r/>
            <w:r>
              <w:rPr>
                <w:rFonts w:ascii="Times New Roman" w:hAnsi="Times New Roman"/>
                <w:b/>
                <w:sz w:val="20"/>
              </w:rPr>
              <w:t>Fundstelle</w:t>
            </w:r>
          </w:p>
        </w:tc>
      </w:tr>
      <w:tr>
        <w:tc>
          <w:tcPr>
            <w:tcW w:type="dxa" w:w="2880"/>
          </w:tcPr>
          <w:p>
            <w:r/>
            <w:r>
              <w:rPr>
                <w:rFonts w:ascii="Times New Roman" w:hAnsi="Times New Roman"/>
                <w:sz w:val="20"/>
              </w:rPr>
              <w:t>1</w:t>
            </w:r>
          </w:p>
        </w:tc>
        <w:tc>
          <w:tcPr>
            <w:tcW w:type="dxa" w:w="2880"/>
          </w:tcPr>
          <w:p>
            <w:r/>
            <w:r>
              <w:rPr>
                <w:rFonts w:ascii="Times New Roman" w:hAnsi="Times New Roman"/>
                <w:sz w:val="20"/>
              </w:rPr>
              <w:t>Gesellschaftsvertrag Neufassung 2023 und Nachtrag 2025</w:t>
            </w:r>
          </w:p>
        </w:tc>
        <w:tc>
          <w:tcPr>
            <w:tcW w:type="dxa" w:w="2880"/>
          </w:tcPr>
          <w:p>
            <w:r/>
            <w:r>
              <w:rPr>
                <w:rFonts w:ascii="Times New Roman" w:hAnsi="Times New Roman"/>
                <w:sz w:val="20"/>
              </w:rPr>
              <w:t>Aktenstuecke 02, 12, 13</w:t>
            </w:r>
          </w:p>
        </w:tc>
      </w:tr>
      <w:tr>
        <w:tc>
          <w:tcPr>
            <w:tcW w:type="dxa" w:w="2880"/>
          </w:tcPr>
          <w:p>
            <w:r/>
            <w:r>
              <w:rPr>
                <w:rFonts w:ascii="Times New Roman" w:hAnsi="Times New Roman"/>
                <w:sz w:val="20"/>
              </w:rPr>
              <w:t>2</w:t>
            </w:r>
          </w:p>
        </w:tc>
        <w:tc>
          <w:tcPr>
            <w:tcW w:type="dxa" w:w="2880"/>
          </w:tcPr>
          <w:p>
            <w:r/>
            <w:r>
              <w:rPr>
                <w:rFonts w:ascii="Times New Roman" w:hAnsi="Times New Roman"/>
                <w:sz w:val="20"/>
              </w:rPr>
              <w:t>Geschaeftsfuehrervertrag und Nachtrag</w:t>
            </w:r>
          </w:p>
        </w:tc>
        <w:tc>
          <w:tcPr>
            <w:tcW w:type="dxa" w:w="2880"/>
          </w:tcPr>
          <w:p>
            <w:r/>
            <w:r>
              <w:rPr>
                <w:rFonts w:ascii="Times New Roman" w:hAnsi="Times New Roman"/>
                <w:sz w:val="20"/>
              </w:rPr>
              <w:t>Aktenstuecke 03, 27</w:t>
            </w:r>
          </w:p>
        </w:tc>
      </w:tr>
      <w:tr>
        <w:tc>
          <w:tcPr>
            <w:tcW w:type="dxa" w:w="2880"/>
          </w:tcPr>
          <w:p>
            <w:r/>
            <w:r>
              <w:rPr>
                <w:rFonts w:ascii="Times New Roman" w:hAnsi="Times New Roman"/>
                <w:sz w:val="20"/>
              </w:rPr>
              <w:t>3</w:t>
            </w:r>
          </w:p>
        </w:tc>
        <w:tc>
          <w:tcPr>
            <w:tcW w:type="dxa" w:w="2880"/>
          </w:tcPr>
          <w:p>
            <w:r/>
            <w:r>
              <w:rPr>
                <w:rFonts w:ascii="Times New Roman" w:hAnsi="Times New Roman"/>
                <w:sz w:val="20"/>
              </w:rPr>
              <w:t>Beiratsprotokolle 2025 und 2026</w:t>
            </w:r>
          </w:p>
        </w:tc>
        <w:tc>
          <w:tcPr>
            <w:tcW w:type="dxa" w:w="2880"/>
          </w:tcPr>
          <w:p>
            <w:r/>
            <w:r>
              <w:rPr>
                <w:rFonts w:ascii="Times New Roman" w:hAnsi="Times New Roman"/>
                <w:sz w:val="20"/>
              </w:rPr>
              <w:t>Aktenstueck 04</w:t>
            </w:r>
          </w:p>
        </w:tc>
      </w:tr>
      <w:tr>
        <w:tc>
          <w:tcPr>
            <w:tcW w:type="dxa" w:w="2880"/>
          </w:tcPr>
          <w:p>
            <w:r/>
            <w:r>
              <w:rPr>
                <w:rFonts w:ascii="Times New Roman" w:hAnsi="Times New Roman"/>
                <w:sz w:val="20"/>
              </w:rPr>
              <w:t>4</w:t>
            </w:r>
          </w:p>
        </w:tc>
        <w:tc>
          <w:tcPr>
            <w:tcW w:type="dxa" w:w="2880"/>
          </w:tcPr>
          <w:p>
            <w:r/>
            <w:r>
              <w:rPr>
                <w:rFonts w:ascii="Times New Roman" w:hAnsi="Times New Roman"/>
                <w:sz w:val="20"/>
              </w:rPr>
              <w:t>Gesellschafterprotokolle 2024 und 2025</w:t>
            </w:r>
          </w:p>
        </w:tc>
        <w:tc>
          <w:tcPr>
            <w:tcW w:type="dxa" w:w="2880"/>
          </w:tcPr>
          <w:p>
            <w:r/>
            <w:r>
              <w:rPr>
                <w:rFonts w:ascii="Times New Roman" w:hAnsi="Times New Roman"/>
                <w:sz w:val="20"/>
              </w:rPr>
              <w:t>Aktenstuecke 28, 29</w:t>
            </w:r>
          </w:p>
        </w:tc>
      </w:tr>
      <w:tr>
        <w:tc>
          <w:tcPr>
            <w:tcW w:type="dxa" w:w="2880"/>
          </w:tcPr>
          <w:p>
            <w:r/>
            <w:r>
              <w:rPr>
                <w:rFonts w:ascii="Times New Roman" w:hAnsi="Times New Roman"/>
                <w:sz w:val="20"/>
              </w:rPr>
              <w:t>5</w:t>
            </w:r>
          </w:p>
        </w:tc>
        <w:tc>
          <w:tcPr>
            <w:tcW w:type="dxa" w:w="2880"/>
          </w:tcPr>
          <w:p>
            <w:r/>
            <w:r>
              <w:rPr>
                <w:rFonts w:ascii="Times New Roman" w:hAnsi="Times New Roman"/>
                <w:sz w:val="20"/>
              </w:rPr>
              <w:t>Buergschaftsbezug</w:t>
            </w:r>
          </w:p>
        </w:tc>
        <w:tc>
          <w:tcPr>
            <w:tcW w:type="dxa" w:w="2880"/>
          </w:tcPr>
          <w:p>
            <w:r/>
            <w:r>
              <w:rPr>
                <w:rFonts w:ascii="Times New Roman" w:hAnsi="Times New Roman"/>
                <w:sz w:val="20"/>
              </w:rPr>
              <w:t>Aktenstueck 01, Ziffer 3.2</w:t>
            </w:r>
          </w:p>
        </w:tc>
      </w:tr>
      <w:tr>
        <w:tc>
          <w:tcPr>
            <w:tcW w:type="dxa" w:w="2880"/>
          </w:tcPr>
          <w:p>
            <w:r/>
            <w:r>
              <w:rPr>
                <w:rFonts w:ascii="Times New Roman" w:hAnsi="Times New Roman"/>
                <w:sz w:val="20"/>
              </w:rPr>
              <w:t>6</w:t>
            </w:r>
          </w:p>
        </w:tc>
        <w:tc>
          <w:tcPr>
            <w:tcW w:type="dxa" w:w="2880"/>
          </w:tcPr>
          <w:p>
            <w:r/>
            <w:r>
              <w:rPr>
                <w:rFonts w:ascii="Times New Roman" w:hAnsi="Times New Roman"/>
                <w:sz w:val="20"/>
              </w:rPr>
              <w:t>Beitragsberechnung</w:t>
            </w:r>
          </w:p>
        </w:tc>
        <w:tc>
          <w:tcPr>
            <w:tcW w:type="dxa" w:w="2880"/>
          </w:tcPr>
          <w:p>
            <w:r/>
            <w:r>
              <w:rPr>
                <w:rFonts w:ascii="Times New Roman" w:hAnsi="Times New Roman"/>
                <w:sz w:val="20"/>
              </w:rPr>
              <w:t>Aktenstueck 31</w:t>
            </w:r>
          </w:p>
        </w:tc>
      </w:tr>
    </w:tbl>
    <w:p/>
    <w:p>
      <w:pPr>
        <w:pStyle w:val="Heading2"/>
      </w:pPr>
      <w:r>
        <w:t>3 Offene Lücken</w:t>
      </w:r>
    </w:p>
    <w:p>
      <w:r>
        <w:rPr>
          <w:rFonts w:ascii="Times New Roman" w:hAnsi="Times New Roman"/>
          <w:b w:val="0"/>
          <w:i w:val="0"/>
          <w:sz w:val="22"/>
        </w:rPr>
        <w:t>Die Buergschaftsurkunde selbst liegt der Kanzlei nicht im Original vor, nur der Verweis aus der Mandatsnotiz. Eine Anforderung bei der Hausbank ist offen. Die genaue Zahl der tatsaechlich genommenen Urlaubstage seit 2023 ist nicht dokumentiert und muss ueber die Reisekostenabrechnung rekonstruiert werden.</w:t>
      </w:r>
    </w:p>
    <w:p>
      <w:r>
        <w:rPr>
          <w:rFonts w:ascii="Times New Roman" w:hAnsi="Times New Roman"/>
          <w:b w:val="0"/>
          <w:i w:val="0"/>
          <w:sz w:val="22"/>
        </w:rPr>
        <w:t>Formathinweis: Dieses Aktenstück wird in Times New Roman, 11 pt, mit ausschließlich dezimaler Gliederung ausgegeben.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i/>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