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Massekalkulation und vorläufige Quotenberechnung</w:t>
      </w:r>
    </w:p>
    <w:p>
      <w:pPr>
        <w:pStyle w:val="Heading2"/>
      </w:pPr>
      <w:r>
        <w:t>Masseaktiva</w:t>
      </w:r>
    </w:p>
    <w:p>
      <w:r>
        <w:t>Verwertung Bueroausstattung und IT: 18.400,00 EUR. Ueberschuss Kautionsverrechnung: 860,00 EUR. Forderungseinzug offene Kundenrechnungen: 24.600,00 EUR. Bankguthaben zum Eroeffnungsstichtag: 4.120,00 EUR. Summe Masseaktiva: 47.980,00 EUR.</w:t>
      </w:r>
    </w:p>
    <w:p>
      <w:pPr>
        <w:pStyle w:val="Heading2"/>
      </w:pPr>
      <w:r>
        <w:t>Massekosten und Masseverbindlichkeiten</w:t>
      </w:r>
    </w:p>
    <w:p>
      <w:r>
        <w:t>Verguetung Insolvenzverwalterin (vorlaeufig geschaetzt): 14.200,00 EUR. Gerichtskosten: 1.800,00 EUR. Sonstige Masseverbindlichkeiten: 2.400,00 EUR. Summe: 18.400,00 EUR.</w:t>
      </w:r>
    </w:p>
    <w:p>
      <w:pPr>
        <w:pStyle w:val="Heading2"/>
      </w:pPr>
      <w:r>
        <w:t>Verteilungsmasse</w:t>
      </w:r>
    </w:p>
    <w:p>
      <w:r>
        <w:t>Verbleibend fuer Insolvenzglaeubiger: 29.580,00 EUR bei festgestellten Forderungen von insgesamt 231.130,80 EUR (ohne bestrittene Betraege), entsprechend einer vorlaeufigen Quote von rund 12,8 %.</w:t>
      </w:r>
    </w:p>
    <w:p/>
    <w:p>
      <w:r>
        <w:t>Dr. Sabine Threin, Insolvenzverwalterin, Zwischenstand 20.07.2026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