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Gutachten des vorläufigen Insolvenzverwalters zur Verfahrenseröffnung</w:t>
      </w:r>
    </w:p>
    <w:p>
      <w:r>
        <w:t>Das Gutachten kommt zu dem Ergebnis, dass Eroeffnungsgruende (Zahlungsunfaehigkeit gemaess § 17 InsO und Ueberschuldung gemaess § 19 InsO) vorliegen.</w:t>
      </w:r>
    </w:p>
    <w:p>
      <w:r>
        <w:t>Die Insolvenzmasse wird auf rund 340.000 EUR Warenbestand zzgl. Forderungen aus Lieferungen und Leistungen (ca. 85.000 EUR) sowie Kassenbestand geschaetzt.</w:t>
      </w:r>
    </w:p>
    <w:p>
      <w:r>
        <w:t>Massekostendeckung ist gegeben. Die Eroeffnung des Regelinsolvenzverfahrens wird empfohlen.</w:t>
      </w:r>
    </w:p>
    <w:p>
      <w:r>
        <w:t>Besondere Pruefpunkte: Kontokorrentrueckfuehrungen an die Kieler Volksbank eG in den letzten drei Monaten vor Antragstellung sowie Zahlungen an die Geschaeftsfuehrung.</w:t>
      </w:r>
    </w:p>
    <w:p/>
    <w:p>
      <w:r>
        <w:t>Dr. Jens-Peter Hartmann, Kiel, 20.05.2013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