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Physiotherapeutischer Bericht</w:t>
      </w:r>
    </w:p>
    <w:p>
      <w:r>
        <w:rPr>
          <w:rFonts w:ascii="Times New Roman" w:hAnsi="Times New Roman"/>
          <w:b/>
          <w:i w:val="0"/>
          <w:sz w:val="22"/>
        </w:rPr>
        <w:t>Physiotherapie Am Stadtwall</w:t>
      </w:r>
    </w:p>
    <w:p>
      <w:r>
        <w:rPr>
          <w:rFonts w:ascii="Times New Roman" w:hAnsi="Times New Roman"/>
          <w:b w:val="0"/>
          <w:i w:val="0"/>
          <w:sz w:val="22"/>
        </w:rPr>
        <w:t>Praxis Timo Elsholz</w:t>
      </w:r>
    </w:p>
    <w:p>
      <w:r>
        <w:rPr>
          <w:rFonts w:ascii="Times New Roman" w:hAnsi="Times New Roman"/>
          <w:b w:val="0"/>
          <w:i w:val="0"/>
          <w:sz w:val="22"/>
        </w:rPr>
        <w:t>Stau 15, 26122 Oldenburg</w:t>
      </w:r>
    </w:p>
    <w:p/>
    <w:p>
      <w:pPr>
        <w:pStyle w:val="Heading2"/>
      </w:pPr>
      <w:r>
        <w:t>1. Behandlungsverlauf</w:t>
      </w:r>
    </w:p>
    <w:p>
      <w:r>
        <w:rPr>
          <w:rFonts w:ascii="Times New Roman" w:hAnsi="Times New Roman"/>
          <w:b w:val="0"/>
          <w:i w:val="0"/>
          <w:sz w:val="22"/>
        </w:rPr>
        <w:t>Physiotherapeutische Behandlung seit Januar 2026, zweimal woechentlich, Schwerpunkt Gangschulung, Gleichgewichtstraining und Kraeftigung der Beinmuskulatur nach Hueft-TEP links.</w:t>
      </w:r>
    </w:p>
    <w:p>
      <w:pPr>
        <w:pStyle w:val="Heading2"/>
      </w:pPr>
      <w:r>
        <w:t>2. Aktueller Trainingsstand</w:t>
      </w:r>
    </w:p>
    <w:p>
      <w:r>
        <w:rPr>
          <w:rFonts w:ascii="Times New Roman" w:hAnsi="Times New Roman"/>
          <w:b w:val="0"/>
          <w:i w:val="0"/>
          <w:sz w:val="22"/>
        </w:rPr>
        <w:t>Trotz regelmaessiger Uebungsbehandlung konnte die Gehstrecke in den letzten sechs Monaten nicht wesentlich gesteigert werden. Die Standsicherheit bleibt durch die diabetische Polyneuropathie limitiert, das Sturzrisiko wird durch Uebungen nur bedingt reduziert.</w:t>
      </w:r>
    </w:p>
    <w:p>
      <w:pPr>
        <w:pStyle w:val="Heading2"/>
      </w:pPr>
      <w:r>
        <w:t>3. Sturzereignisse im Behandlungszeitraum</w:t>
      </w:r>
    </w:p>
    <w:p>
      <w:r>
        <w:rPr>
          <w:rFonts w:ascii="Times New Roman" w:hAnsi="Times New Roman"/>
          <w:b w:val="0"/>
          <w:i w:val="0"/>
          <w:sz w:val="22"/>
        </w:rPr>
        <w:t>Nach Angaben des Patienten kam es im Behandlungszeitraum zu drei Stuerzen, davon zwei im Wohnungsflur und einer auf dem Gehweg vor dem Haus, jeweils ohne schwere Verletzungsfolgen, jedoch mit zunehmender Sturzangst.</w:t>
      </w:r>
    </w:p>
    <w:p>
      <w:pPr>
        <w:pStyle w:val="Heading2"/>
      </w:pPr>
      <w:r>
        <w:t>4. Physiotherapeutische Einschaetzung</w:t>
      </w:r>
    </w:p>
    <w:p>
      <w:r>
        <w:rPr>
          <w:rFonts w:ascii="Times New Roman" w:hAnsi="Times New Roman"/>
          <w:b w:val="0"/>
          <w:i w:val="0"/>
          <w:sz w:val="22"/>
        </w:rPr>
        <w:t>Eine weitere Verbesserung der Gehfaehigkeit ueber das aktuelle Niveau hinaus ist nach fachlicher Einschaetzung nur eingeschraenkt zu erwarten, da die zugrunde liegende Polyneuropathie nicht reversibel ist. Die Fortfuehrung der Physiotherapie dient dem Erhalt der Restmobilitaet, ersetzt aber keine geeignete Hilfsmittelversorgung fuer den Nahbereich ausserhalb der Wohnung.</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