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Rotorwerk Praezisionstechnik GmbH ./. NordLease Maschinen-Leasing GmbH - Az. 4 O 218/26 LG Bielefeld</w:t>
      </w:r>
    </w:p>
    <w:p>
      <w:pPr>
        <w:pStyle w:val="Heading1"/>
      </w:pPr>
      <w:r>
        <w:t>Bilanzansatz bei der Leasingnehmerin - Rechnungsabgrenzung zum 31.12.2025</w:t>
      </w:r>
    </w:p>
    <w:p>
      <w:r>
        <w:t>Auszug aus dem Anhang zum Jahresabschluss 2025 der Rotorwerk Praezisionstechnik GmbH, erstellt durch Steuerberatung Winkelmann &amp; Partner, Bielefeld.</w:t>
      </w:r>
    </w:p>
    <w:p>
      <w:pPr>
        <w:pStyle w:val="Heading2"/>
      </w:pPr>
      <w:r>
        <w:t>Bilanzielle Behandlung</w:t>
      </w:r>
    </w:p>
    <w:p>
      <w:r>
        <w:t>Der Maschinen-Leasingvertrag mit der NordLease Maschinen-Leasing GmbH wird als Operating-Leasing behandelt (Bilanzierung beim wirtschaftlichen Eigentuemer NordLease). Die Rotorwerk Praezisionstechnik GmbH weist die laufenden Leasingraten als Aufwand aus.</w:t>
      </w:r>
    </w:p>
    <w:p>
      <w:pPr>
        <w:pStyle w:val="Heading2"/>
      </w:pPr>
      <w:r>
        <w:t>Rechnungsabgrenzungsposten</w:t>
      </w:r>
    </w:p>
    <w:p>
      <w:pPr>
        <w:pStyle w:val="ListBullet"/>
      </w:pPr>
      <w:r>
        <w:t>Aktiver RAP zum 31.12.2025: EUR 46.680,00 (Vorauszahlung Januarrate 2026)</w:t>
      </w:r>
    </w:p>
    <w:p>
      <w:pPr>
        <w:pStyle w:val="ListBullet"/>
      </w:pPr>
      <w:r>
        <w:t>Ruecklage fuer drohende Nachforderungen aus Restwertabrechnung: EUR 180.000,00 (Einschaetzung Geschaeftsfuehrung, ungewiss)</w:t>
      </w:r>
    </w:p>
    <w:p>
      <w:pPr>
        <w:pStyle w:val="Heading2"/>
      </w:pPr>
      <w:r>
        <w:t>Pruefungshinweis Wirtschaftspruefer</w:t>
      </w:r>
    </w:p>
    <w:p>
      <w:r>
        <w:t>Der Abschlusspruefer (Diplom-Kaufmann Achim Roeder, Roeder Treuhand GmbH) weist im Pruefungsbericht auf ein wesentliches Risiko aus der streitigen Restwertabrechnung sowie der ungeklaerten Verbringung zweier Objekte ins Ausland hin und empfiehlt eine Ruecklagenbildung von mindestens EUR 250.000,00.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