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Rotorwerk Praezisionstechnik GmbH ./. NordLease Maschinen-Leasing GmbH - Az. 4 O 218/26 LG Bielefeld</w:t>
      </w:r>
    </w:p>
    <w:p>
      <w:pPr>
        <w:pStyle w:val="Heading1"/>
      </w:pPr>
      <w:r>
        <w:t>Wertgutachten DEKRA Automobil GmbH, Niederlassung Bielefeld - Marktwertermittlung CNC-Bearbeitungszentren</w:t>
      </w:r>
    </w:p>
    <w:p>
      <w:r>
        <w:t>Gutachten Nr. DEKRA-MB-2026-0334 vom 02.02.2026, erstellt von Dipl.-Ing. Frank Osterhoff, oeffentlich bestellter und vereidigter Sachverstaendiger fuer Werkzeugmaschinen.</w:t>
      </w:r>
    </w:p>
    <w:p>
      <w:pPr>
        <w:pStyle w:val="Heading2"/>
      </w:pPr>
      <w:r>
        <w:t>Auftrag</w:t>
      </w:r>
    </w:p>
    <w:p>
      <w:r>
        <w:t>Ermittlung des Marktwerts (Zeitwert) der zehn am Standort Bielefeld/Herford verbliebenen Haas VF-6SS CNC-Bearbeitungszentren zum Stichtag 20.01.2026 nach Besichtigung und Funktionspruefung.</w:t>
      </w:r>
    </w:p>
    <w:p>
      <w:pPr>
        <w:pStyle w:val="Heading2"/>
      </w:pPr>
      <w:r>
        <w:t>Ergebnis je Objekt (Auszug)</w:t>
      </w:r>
    </w:p>
    <w:p>
      <w:pPr>
        <w:pStyle w:val="ListBullet"/>
      </w:pPr>
      <w:r>
        <w:t>Objekte 1, 2, 5, 6, 7, 9, 10 (betriebsbereit, altersgemaesser Zustand): je EUR 34.500,00</w:t>
      </w:r>
    </w:p>
    <w:p>
      <w:pPr>
        <w:pStyle w:val="ListBullet"/>
      </w:pPr>
      <w:r>
        <w:t>Objekt 3 (Softwarefehler, behebbar): EUR 29.800,00 (Minderung wegen Ausfallzeit und Nacharbeitsbedarf)</w:t>
      </w:r>
    </w:p>
    <w:p>
      <w:pPr>
        <w:pStyle w:val="ListBullet"/>
      </w:pPr>
      <w:r>
        <w:t>Objekt 4 (Spindellagerschaden): EUR 21.200,00 (Reparaturkosten geschaetzt EUR 9.800,00 bereits abgezogen)</w:t>
      </w:r>
    </w:p>
    <w:p>
      <w:pPr>
        <w:pStyle w:val="ListBullet"/>
      </w:pPr>
      <w:r>
        <w:t>Objekt 8 (Softwarefehler, behebbar): EUR 29.800,00</w:t>
      </w:r>
    </w:p>
    <w:p>
      <w:pPr>
        <w:pStyle w:val="Heading2"/>
      </w:pPr>
      <w:r>
        <w:t>Gesamtwert</w:t>
      </w:r>
    </w:p>
    <w:p>
      <w:r>
        <w:t>Gesamtmarktwert der zehn begutachteten Objekte: EUR 259.700,00 (Durchschnitt EUR 25.970,00 je Objekt, deutlich unter dem im Leasingvertrag kalkulierten Restwert von EUR 42.000,00 je Objekt).</w:t>
      </w:r>
    </w:p>
    <w:p>
      <w:pPr>
        <w:pStyle w:val="Heading2"/>
      </w:pPr>
      <w:r>
        <w:t>Ursachenhinweis Softwarefehler</w:t>
      </w:r>
    </w:p>
    <w:p>
      <w:r>
        <w:t>Der Sachverstaendige stellt bei Objekten 3 und 8 identische Fehlermeldungen der Steuerungssoftware fest ('Remote service status restricted'), die nach Herstellerauskunft auf eine serverseitige Lizenzsperre zurueckzufuehren sind und nicht auf einen mechanischen Mangel.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