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Quirrenbach &amp; Partner mbB | Rechtsanwaelte | Duesseldorf</w:t>
      </w:r>
    </w:p>
    <w:p>
      <w:pPr>
        <w:pStyle w:val="Heading1"/>
      </w:pPr>
      <w:r>
        <w:t>Schlussverteilungsverzeichnis</w:t>
      </w:r>
    </w:p>
    <w:p>
      <w:r>
        <w:t>Amtsgericht Duesseldorf, Az. 512 IN 88/26</w:t>
      </w:r>
    </w:p>
    <w:p>
      <w:r>
        <w:t>Verzeichnis vom 15.03.2027</w:t>
      </w:r>
    </w:p>
    <w:p>
      <w:pPr>
        <w:pStyle w:val="Heading2"/>
      </w:pPr>
      <w:r>
        <w:t>Verteilung auf festgestellte Forderungen (Quote 0,236 Prozent)</w:t>
      </w:r>
    </w:p>
    <w:p>
      <w:pPr>
        <w:pStyle w:val="ListBullet"/>
      </w:pPr>
      <w:r>
        <w:t>Rheinboden Kreditbank AG (666.606,47 EUR): Quotenzahlung 1.573,20 EUR</w:t>
      </w:r>
    </w:p>
    <w:p>
      <w:pPr>
        <w:pStyle w:val="ListBullet"/>
      </w:pPr>
      <w:r>
        <w:t>Fedder &amp; Sohst (1.897,00 EUR): Quotenzahlung 4,48 EUR</w:t>
      </w:r>
    </w:p>
    <w:p>
      <w:pPr>
        <w:pStyle w:val="ListBullet"/>
      </w:pPr>
      <w:r>
        <w:t>Finanzamt Duesseldorf-Nord (3.240,00 EUR): Quotenzahlung 7,65 EUR</w:t>
      </w:r>
    </w:p>
    <w:p>
      <w:pPr>
        <w:pStyle w:val="ListBullet"/>
      </w:pPr>
      <w:r>
        <w:t>Sonstige Kleinglaeubiger (2.114,90 EUR): Quotenzahlung 4,99 EUR</w:t>
      </w:r>
    </w:p>
    <w:p>
      <w:pPr>
        <w:pStyle w:val="ListBullet"/>
      </w:pPr>
      <w:r>
        <w:t>Summe Verteilungsmasse: 1.590,32 EUR</w:t>
      </w:r>
    </w:p>
    <w:p>
      <w:r>
        <w:t>Die Verteilung erfolgt nach Rechtskraft des Schlusstermins gemaess Paragraf 196 InsO.</w:t>
      </w:r>
    </w:p>
    <w:p/>
    <w:p>
      <w:r>
        <w:t>Der Insolvenzverwalter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