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Quirrenbach &amp; Partner mbB | Rechtsanwaelte | Duesseldorf</w:t>
      </w:r>
    </w:p>
    <w:p>
      <w:pPr>
        <w:pStyle w:val="Heading1"/>
      </w:pPr>
      <w:r>
        <w:t>Beschluss ueber die Aufhebung des Insolvenzverfahrens</w:t>
      </w:r>
    </w:p>
    <w:p>
      <w:r>
        <w:t>Amtsgericht Duesseldorf, Az. 512 IN 88/26</w:t>
      </w:r>
    </w:p>
    <w:p>
      <w:r>
        <w:t>Beschluss vom 30.04.2027</w:t>
      </w:r>
    </w:p>
    <w:p>
      <w:pPr>
        <w:pStyle w:val="Heading2"/>
      </w:pPr>
      <w:r>
        <w:t>Tenor</w:t>
      </w:r>
    </w:p>
    <w:p>
      <w:r>
        <w:t>Das Insolvenzverfahren ueber das Vermoegen der Silberweiher Beteiligungs GmbH wird nach Vollzug der Schlussverteilung gemaess Paragraf 200 Abs. 1 InsO aufgehoben.</w:t>
      </w:r>
    </w:p>
    <w:p>
      <w:pPr>
        <w:pStyle w:val="Heading2"/>
      </w:pPr>
      <w:r>
        <w:t>Gruende</w:t>
      </w:r>
    </w:p>
    <w:p>
      <w:r>
        <w:t>Der Schlusstermin hat am 20.04.2027 stattgefunden. Einwendungen gegen die Schlussrechnung wurden nicht erhoben. Die Verteilungsmasse von 1.590,32 EUR wurde quotal an die festgestellten Insolvenzglaeubiger ausgekehrt. Da die Schuldnerin eine GmbH ist, fuehrt die Aufhebung des Insolvenzverfahrens mangels Restvermoegen zur Aufloesung gemaess Paragraf 60 Abs. 1 Nr. 4 GmbHG.</w:t>
      </w:r>
    </w:p>
    <w:p/>
    <w:p>
      <w:r>
        <w:t>Der Richter am Amtsgericht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