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HinSchG-Hinweis vom 12.05.2024 — Dokumentation und Reidentifizierungsindizien</w:t>
      </w:r>
    </w:p>
    <w:p>
      <w:pPr>
        <w:spacing w:line="259" w:lineRule="auto" w:after="60"/>
        <w:jc w:val="left"/>
      </w:pPr>
      <w:r>
        <w:t>Internes Aktenstück. Vertraulich. Enthält möglicherweise sensible Sachverhaltselemente zur Hinweisgebermeldung von Dr. Körber.</w:t>
      </w:r>
    </w:p>
    <w:p>
      <w:pPr>
        <w:spacing w:line="259" w:lineRule="auto" w:after="60"/>
      </w:pPr>
    </w:p>
    <w:p>
      <w:pPr>
        <w:pStyle w:val="Heading2"/>
        <w:spacing w:before="120" w:after="60" w:line="259" w:lineRule="auto"/>
      </w:pPr>
      <w:r>
        <w:rPr>
          <w:rFonts w:ascii="Times New Roman" w:hAnsi="Times New Roman"/>
          <w:b/>
          <w:sz w:val="22"/>
        </w:rPr>
        <w:t>1. Kontext</w:t>
      </w:r>
    </w:p>
    <w:p>
      <w:pPr>
        <w:spacing w:line="259" w:lineRule="auto" w:after="60"/>
        <w:jc w:val="left"/>
      </w:pPr>
      <w:r>
        <w:t>EthicsHub GmbH ist ein externer Anbieter von Hinweisgebersystemen mit Sitz in Hamburg, der die Steinhoff Präzisionsguss SE seit Einführung des HinSchG (Inkrafttreten 02.07.2023) mit einer anonymen Meldemöglichkeit versorgt. Körber hatte über den internen Kanal von EthicsHub eine anonyme Meldung abgesetzt. Zugang über das Intranet-Portal der Steinhoff SE unter https://steinhoff-hinweis.ethicshub.de (intern bekannt).</w:t>
      </w:r>
    </w:p>
    <w:p>
      <w:pPr>
        <w:spacing w:line="259" w:lineRule="auto" w:after="60"/>
      </w:pPr>
    </w:p>
    <w:p>
      <w:pPr>
        <w:pStyle w:val="Heading2"/>
        <w:spacing w:before="120" w:after="60" w:line="259" w:lineRule="auto"/>
      </w:pPr>
      <w:r>
        <w:rPr>
          <w:rFonts w:ascii="Times New Roman" w:hAnsi="Times New Roman"/>
          <w:b/>
          <w:sz w:val="22"/>
        </w:rPr>
        <w:t>2. Wortlaut des anonymen Hinweises (rekonstruiert aus Körbers Notizen)</w:t>
      </w:r>
    </w:p>
    <w:p>
      <w:pPr>
        <w:spacing w:line="259" w:lineRule="auto" w:after="60"/>
        <w:jc w:val="left"/>
      </w:pPr>
      <w:r>
        <w:rPr>
          <w:i/>
        </w:rPr>
        <w:t>[Die folgende Version entspricht dem Wortlaut, den Körber am 12.05.2024 verfasste. Sie hat handschriftliche Notizen übergeben, aus denen die Formulierungen rekonstruiert wurden.]</w:t>
      </w:r>
    </w:p>
    <w:p>
      <w:pPr>
        <w:spacing w:line="259" w:lineRule="auto" w:after="60"/>
      </w:pPr>
    </w:p>
    <w:p>
      <w:pPr>
        <w:spacing w:line="259" w:lineRule="auto" w:after="60"/>
        <w:jc w:val="left"/>
      </w:pPr>
      <w:r>
        <w:rPr>
          <w:b/>
        </w:rPr>
        <w:t>Hinweis über das EthicsHub-Meldeportal, abgesendet: 12.05.2024, 21:34 Uhr</w:t>
      </w:r>
    </w:p>
    <w:p>
      <w:pPr>
        <w:spacing w:line="259" w:lineRule="auto" w:after="60"/>
        <w:jc w:val="left"/>
      </w:pPr>
      <w:r>
        <w:rPr>
          <w:b/>
        </w:rPr>
        <w:t>Fallnummer (lt. Eingangsbestätigung EthicsHub): ETH-2024-0512-0078</w:t>
      </w:r>
    </w:p>
    <w:p>
      <w:pPr>
        <w:spacing w:line="259" w:lineRule="auto" w:after="60"/>
        <w:jc w:val="left"/>
      </w:pPr>
      <w:r>
        <w:rPr>
          <w:b/>
        </w:rPr>
        <w:t>Kanal: Anonym (keine Kontaktdaten hinterlegt)</w:t>
      </w:r>
    </w:p>
    <w:p>
      <w:pPr>
        <w:spacing w:line="259" w:lineRule="auto" w:after="60"/>
        <w:jc w:val="left"/>
      </w:pPr>
      <w:r>
        <w:t>Betrifft: Verrechnungspreisauffälligkeiten zwischen Steinhoff Präzisionsguss SE, Werk Eberswalde, und Steinhoff Rohstoffhandel GmbH &amp; Co. KG, Bautzen</w:t>
      </w:r>
    </w:p>
    <w:p>
      <w:pPr>
        <w:spacing w:line="259" w:lineRule="auto" w:after="60"/>
        <w:jc w:val="left"/>
      </w:pPr>
      <w:r>
        <w:t>Im Rahmen meiner Tätigkeit habe ich Zugang zu internen Quartalsberichten und Beschaffungsdokumenten des Werks Eberswalde. Dabei ist mir in den letzten zwei Quartalen (Q3 und Q4 2023) aufgefallen, dass Einkaufspreise für Aluminiumlegierungen (Typ AlSi9Cu3 und AlSi12) von der Steinhoff Rohstoffhandel GmbH &amp; Co. KG, Bautzen, systematisch 18–23 % über dem nachweisbaren Marktpreis (LME-Aluminium zzgl. üblicher Legierungszuschläge) abgerechnet werden.</w:t>
      </w:r>
    </w:p>
    <w:p>
      <w:pPr>
        <w:spacing w:line="259" w:lineRule="auto" w:after="60"/>
        <w:jc w:val="left"/>
      </w:pPr>
      <w:r>
        <w:t>Im Vergleich: Werk Salzgitter bezieht vergleichbare Legierungen von zwei externen Lieferanten zu Preisen, die 14–17 % unter den Verrechnungspreisen der Rohstoffhandel-Schwestergesellschaft liegen.</w:t>
      </w:r>
    </w:p>
    <w:p>
      <w:pPr>
        <w:spacing w:line="259" w:lineRule="auto" w:after="60"/>
        <w:jc w:val="left"/>
      </w:pPr>
      <w:r>
        <w:t>Die Mengendifferenz und das Preisdelta ergeben für Q3+Q4 2023 eine Mehrkostenbelastung des Werks Eberswalde von schätzungsweise 840.000 EUR gegenüber dem Marktpreis.</w:t>
      </w:r>
    </w:p>
    <w:p>
      <w:pPr>
        <w:spacing w:line="259" w:lineRule="auto" w:after="60"/>
        <w:jc w:val="left"/>
      </w:pPr>
      <w:r>
        <w:t>Ich weise darauf hin, dass der zuständige Einkaufsleiter (Konzernebene) und der HR-Leiter in E-Mails, die mir als Teil der Freigabedokumentation zugingen, als explizit zuständig für die Beschaffungsabsprache mit der Schwestergesellschaft benannt werden. Die Formulierungen in diesen E-Mails lassen darauf schließen, dass es sich um bewusste konzerninterne Steuergestaltung handelt, die möglicherweise über legale Verrechnungspreiskorridore (§ 1 AStG, OECD-Leitlinien) hinausgeht.</w:t>
      </w:r>
    </w:p>
    <w:p>
      <w:pPr>
        <w:spacing w:line="259" w:lineRule="auto" w:after="60"/>
        <w:jc w:val="left"/>
      </w:pPr>
      <w:r>
        <w:t>Ich bitte um eine interne Prüfung dieses Sachverhalts durch einen unabhängigen Dritten.</w:t>
      </w:r>
    </w:p>
    <w:p>
      <w:pPr>
        <w:spacing w:line="259" w:lineRule="auto" w:after="60"/>
      </w:pPr>
    </w:p>
    <w:p>
      <w:pPr>
        <w:pStyle w:val="Heading2"/>
        <w:spacing w:line="259" w:lineRule="auto" w:after="60"/>
      </w:pPr>
      <w:r>
        <w:rPr>
          <w:rFonts w:ascii="Times New Roman" w:hAnsi="Times New Roman"/>
        </w:rPr>
        <w:t>3. Eingangsbestätigung EthicsHub (Auszug, Körber hat Screenshot)</w:t>
      </w:r>
    </w:p>
    <w:p>
      <w:pPr>
        <w:spacing w:line="259" w:lineRule="auto" w:after="60"/>
        <w:ind w:left="567"/>
      </w:pPr>
      <w:r>
        <w:rPr>
          <w:i/>
        </w:rPr>
        <w:t>Sehr geehrte/r Hinweisgeber/in,</w:t>
      </w:r>
    </w:p>
    <w:p>
      <w:pPr>
        <w:spacing w:line="259" w:lineRule="auto" w:after="60"/>
        <w:ind w:left="567"/>
      </w:pPr>
      <w:r>
        <w:rPr>
          <w:i/>
        </w:rPr>
        <w:t xml:space="preserve">Ihre Meldung mit der Fallnummer </w:t>
      </w:r>
      <w:r>
        <w:rPr>
          <w:b/>
          <w:i/>
        </w:rPr>
        <w:t>ETH-2024-0512-0078</w:t>
      </w:r>
      <w:r>
        <w:rPr>
          <w:i/>
        </w:rPr>
        <w:t xml:space="preserve"> ist am </w:t>
      </w:r>
      <w:r>
        <w:rPr>
          <w:b/>
          <w:i/>
        </w:rPr>
        <w:t>12.05.2024 um 21:34 Uhr</w:t>
      </w:r>
      <w:r>
        <w:rPr>
          <w:i/>
        </w:rPr>
        <w:t xml:space="preserve"> bei unserem System eingegangen.</w:t>
      </w:r>
    </w:p>
    <w:p>
      <w:pPr>
        <w:spacing w:line="259" w:lineRule="auto" w:after="60"/>
        <w:ind w:left="567"/>
      </w:pPr>
      <w:r>
        <w:rPr>
          <w:i/>
        </w:rPr>
        <w:t>Sie können den Bearbeitungsstand Ihrer Meldung jederzeit über Ihren personalisierten Zugangscode einsehen.</w:t>
      </w:r>
    </w:p>
    <w:p>
      <w:pPr>
        <w:spacing w:line="259" w:lineRule="auto" w:after="60"/>
        <w:ind w:left="567"/>
      </w:pPr>
      <w:r>
        <w:rPr>
          <w:i/>
        </w:rPr>
        <w:t>Zugangscode: [von Körber geschwärzt]</w:t>
      </w:r>
    </w:p>
    <w:p>
      <w:pPr>
        <w:spacing w:line="259" w:lineRule="auto" w:after="60"/>
        <w:ind w:left="567"/>
      </w:pPr>
      <w:r>
        <w:rPr>
          <w:i/>
        </w:rPr>
        <w:t>Gemäß den Vorgaben der Steinhoff Präzisionsguss SE wird Ihre Meldung an die zuständige interne Meldestelle weitergeleitet. Die Bearbeitung erfolgt in der Regel innerhalb von sieben Arbeitstagen.</w:t>
      </w:r>
    </w:p>
    <w:p>
      <w:pPr>
        <w:spacing w:line="259" w:lineRule="auto" w:after="60"/>
        <w:ind w:left="567"/>
      </w:pPr>
      <w:r>
        <w:rPr>
          <w:i/>
        </w:rPr>
        <w:t>EthicsHub GmbH, Hamburg</w:t>
      </w:r>
    </w:p>
    <w:p>
      <w:pPr>
        <w:spacing w:line="259" w:lineRule="auto" w:after="60"/>
      </w:pPr>
    </w:p>
    <w:p>
      <w:pPr>
        <w:pStyle w:val="Heading2"/>
        <w:spacing w:line="259" w:lineRule="auto" w:after="60"/>
      </w:pPr>
      <w:r>
        <w:rPr>
          <w:rFonts w:ascii="Times New Roman" w:hAnsi="Times New Roman"/>
        </w:rPr>
        <w:t>4. Interner Verteiler der Meldung (Indizien der Reidentifizierung)</w:t>
      </w:r>
    </w:p>
    <w:p>
      <w:pPr>
        <w:spacing w:line="259" w:lineRule="auto" w:after="60"/>
        <w:jc w:val="left"/>
      </w:pPr>
      <w:r>
        <w:t>Körber schildert folgende Indizien, die sie auf eine Reidentifizierung durch Kemnitz/Branitz hindeuten lassen:</w:t>
      </w:r>
    </w:p>
    <w:p>
      <w:pPr>
        <w:spacing w:line="259" w:lineRule="auto" w:after="60"/>
        <w:jc w:val="left"/>
      </w:pPr>
      <w:r>
        <w:rPr>
          <w:b/>
        </w:rPr>
        <w:t>a) Zeitliche Koinzidenz</w:t>
      </w:r>
    </w:p>
    <w:p>
      <w:pPr>
        <w:spacing w:line="259" w:lineRule="auto" w:after="60"/>
        <w:jc w:val="left"/>
      </w:pPr>
      <w:r>
        <w:t>Am 18.06.2024 — rund fünf Wochen nach Eingang der Meldung — bat Dr. Kemnitz Körber per E-Mail zu einem „kurzfristigen persönlichen Gespräch" am 20.06.2024. Der Anlass war laut E-Mail „interne Compliance-Themen, die ich gerne mit Ihnen besprechen möchte." Körber war zu diesem Zeitpunkt die einzige Führungskraft, die regelmäßig Zugang zu den bezeichneten Beschaffungsdokumenten hatte.</w:t>
      </w:r>
    </w:p>
    <w:p>
      <w:pPr>
        <w:spacing w:line="259" w:lineRule="auto" w:after="60"/>
        <w:jc w:val="left"/>
      </w:pPr>
      <w:r>
        <w:rPr>
          <w:b/>
        </w:rPr>
        <w:t>b) Inhaltliche Überlappung</w:t>
      </w:r>
    </w:p>
    <w:p>
      <w:pPr>
        <w:spacing w:line="259" w:lineRule="auto" w:after="60"/>
        <w:jc w:val="left"/>
      </w:pPr>
      <w:r>
        <w:t>Im ersten Gespräch (20.06.2024) verwendete Kemnitz Formulierungen wie „Verrechnungspreise sind ein sensibles Feld" und „man muss vorsichtig sein, wenn man solche Themen nach außen trägt" — ohne die Meldung explizit zu erwähnen. Körber interpretierte dies als klares Signal, dass Kemnitz über den Inhalt der Meldung informiert war.</w:t>
      </w:r>
    </w:p>
    <w:p>
      <w:pPr>
        <w:spacing w:line="259" w:lineRule="auto" w:after="60"/>
        <w:jc w:val="left"/>
      </w:pPr>
      <w:r>
        <w:rPr>
          <w:b/>
        </w:rPr>
        <w:t>c) Technische Schwachstelle beim EthicsHub-System</w:t>
      </w:r>
    </w:p>
    <w:p>
      <w:pPr>
        <w:spacing w:line="259" w:lineRule="auto" w:after="60"/>
        <w:jc w:val="left"/>
      </w:pPr>
      <w:r>
        <w:t>Körber vermutete nach Beratung mit einer befreundeten IT-Ingenieurin, dass das Hinweisgebersystem möglicherweise Metadaten über Einloggezeiten und verwendete Unternehmensgeräte erfasst. Sie hatte die Meldung auf einem privaten Gerät abgesetzt, aber über das WLAN-Netzwerk des Unternehmens (Eberswalde, Bürogebäude, abends um 21:34 Uhr). Die IP-Adresse könnte einem firmeneigenen Netzwerkknoten zugeordnet worden sein.</w:t>
      </w:r>
    </w:p>
    <w:p>
      <w:pPr>
        <w:spacing w:line="259" w:lineRule="auto" w:after="60"/>
        <w:jc w:val="left"/>
      </w:pPr>
      <w:r>
        <w:rPr>
          <w:b/>
        </w:rPr>
        <w:t>d) Reaktion Branitz</w:t>
      </w:r>
    </w:p>
    <w:p>
      <w:pPr>
        <w:spacing w:line="259" w:lineRule="auto" w:after="60"/>
        <w:jc w:val="left"/>
      </w:pPr>
      <w:r>
        <w:t>Branitz fragte Körber im Flurgespräch ca. 03.07.2024 beiläufig, ob sie „sich auch manchmal bei EthicsHub einlogge" — eine merkwürdige Formulierung, da Meldepflichtige üblicherweise nicht aktiv eingeloggt sind; der Kanal ist anonym und einmalig.</w:t>
      </w:r>
    </w:p>
    <w:p>
      <w:pPr>
        <w:spacing w:line="259" w:lineRule="auto" w:after="60"/>
      </w:pPr>
    </w:p>
    <w:p>
      <w:pPr>
        <w:pStyle w:val="Heading2"/>
        <w:spacing w:line="259" w:lineRule="auto" w:after="60"/>
      </w:pPr>
      <w:r>
        <w:rPr>
          <w:rFonts w:ascii="Times New Roman" w:hAnsi="Times New Roman"/>
        </w:rPr>
        <w:t>5. Rechtliche Einordnung (RA Reuß, 02.06.2025)</w:t>
      </w:r>
    </w:p>
    <w:p>
      <w:pPr>
        <w:spacing w:line="259" w:lineRule="auto" w:after="60"/>
        <w:jc w:val="left"/>
      </w:pPr>
      <w:r>
        <w:t>Körbers Meldung ist nach den Voraussetzungen des HinSchG schutzwürdig: Sie betrifft einen hinreichend begründeten Verdacht einer Verletzung des § 1 AStG (ggf. Steuerstraftatbestand) sowie der §§ 14 ff. GmbHG (Treuepflichtverletzung eines Geschäftsführers). Die Meldung erfolgte über einen zertifizierten internen Meldekanal.</w:t>
      </w:r>
    </w:p>
    <w:p>
      <w:pPr>
        <w:spacing w:line="259" w:lineRule="auto" w:after="60"/>
        <w:jc w:val="left"/>
      </w:pPr>
      <w:r>
        <w:t>§ 36 HinSchG verbietet jede Benachteiligung von Hinweisgebern. Nach § 36 Abs. 2 HinSchG wird vermutet, dass eine Benachteiligung nach einer Meldung eine Repressalie darstellt. Die Beweislast wird nach § 37 HinSchG auf den Arbeitgeber verschoben.</w:t>
      </w:r>
    </w:p>
    <w:p>
      <w:pPr>
        <w:spacing w:line="259" w:lineRule="auto" w:after="60"/>
        <w:jc w:val="left"/>
      </w:pPr>
      <w:r>
        <w:t>Die Kündigungsschutzklagen-Strategie sollte den HinSchG-Aspekt ausdrücklich in den Antrag integrieren (hilfsweise eigenständiger Feststellungsantrag oder Schadensersatzantrag nach § 37 HinSchG). Die zeitliche Abfolge — Meldung Mai 2024, Beginn der Repressalien Juni 2024, Kündigung Mai 2025 — ist für die Indizwirkung günstig.</w:t>
      </w:r>
    </w:p>
    <w:p>
      <w:pPr>
        <w:spacing w:line="259" w:lineRule="auto" w:after="60"/>
        <w:jc w:val="left"/>
      </w:pPr>
      <w:r>
        <w:rPr>
          <w:i/>
        </w:rPr>
        <w:t>Vermerk: RA Dr. Jonas Reuß, 02.06.2025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