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Gesprächsnotizen zu Vier-Augen-Gesprächen mit Dr. Lars Kemnitz (Justiziar)</w:t>
      </w:r>
    </w:p>
    <w:p>
      <w:pPr>
        <w:spacing w:line="259" w:lineRule="auto" w:after="60"/>
        <w:jc w:val="left"/>
      </w:pPr>
      <w:r>
        <w:t>Zusammengestellt aus Körbers handschriftlichen Notizen. Körber hat nach jedem Gespräch noch am selben Tag Notizen angefertigt und in einem privaten notizbuch aufbewahrt. Originale werden auf Anfrage zur Einsicht gegeben. Drei Gespräche insgesamt.</w:t>
      </w:r>
    </w:p>
    <w:p>
      <w:pPr>
        <w:spacing w:line="259" w:lineRule="auto" w:after="60"/>
      </w:pPr>
    </w:p>
    <w:p>
      <w:pPr>
        <w:pStyle w:val="Heading2"/>
        <w:spacing w:line="259" w:lineRule="auto" w:after="60"/>
      </w:pPr>
      <w:r>
        <w:rPr>
          <w:rFonts w:ascii="Times New Roman" w:hAnsi="Times New Roman"/>
        </w:rPr>
        <w:t>Gespräch 1: 20.06.2024, ca. 10:00 Uhr, Büro Kemnitz, Verwaltungsgebäude Eberswalde</w:t>
      </w:r>
    </w:p>
    <w:p>
      <w:pPr>
        <w:spacing w:line="259" w:lineRule="auto" w:after="60"/>
        <w:jc w:val="left"/>
      </w:pPr>
      <w:r>
        <w:rPr>
          <w:b/>
        </w:rPr>
        <w:t>Anlass:</w:t>
      </w:r>
      <w:r>
        <w:t xml:space="preserve"> Einladung per E-Mail vom 18.06.2024 (wörtlich: „Kurzes persönliches Gespräch zu internen Compliance-Themen")</w:t>
      </w:r>
    </w:p>
    <w:p>
      <w:pPr>
        <w:spacing w:before="120" w:after="60" w:line="259" w:lineRule="auto"/>
        <w:jc w:val="left"/>
      </w:pPr>
      <w:r>
        <w:rPr>
          <w:rFonts w:ascii="Times New Roman" w:hAnsi="Times New Roman"/>
          <w:b/>
          <w:sz w:val="22"/>
        </w:rPr>
        <w:t>Anwesende:</w:t>
      </w:r>
      <w:r>
        <w:rPr>
          <w:rFonts w:ascii="Times New Roman" w:hAnsi="Times New Roman"/>
          <w:b/>
          <w:sz w:val="22"/>
        </w:rPr>
        <w:t xml:space="preserve"> Dr. Lars Kemnitz, Dr. Annika Körber (kein weiterer Zeuge)</w:t>
      </w:r>
    </w:p>
    <w:p>
      <w:pPr>
        <w:spacing w:before="120" w:after="60" w:line="259" w:lineRule="auto"/>
        <w:jc w:val="left"/>
      </w:pPr>
      <w:r>
        <w:rPr>
          <w:rFonts w:ascii="Times New Roman" w:hAnsi="Times New Roman"/>
          <w:b/>
          <w:sz w:val="22"/>
        </w:rPr>
        <w:t>Körbers Gesprächsnotiz (rekonstruiert):</w:t>
      </w:r>
    </w:p>
    <w:p>
      <w:pPr>
        <w:spacing w:line="259" w:lineRule="auto" w:after="60"/>
        <w:jc w:val="left"/>
      </w:pPr>
      <w:r>
        <w:t>Kemnitz begrüßte freundlich, bot Kaffee an. Begann mit allgemeinen Bemerkungen über die Herausforderungen für das Werk in der aktuellen Marktsituation. Wechselte dann unvermittelt das Thema: Er sprach von „internen Überlegungen zur Beschaffungsstruktur", die er als Justiziar regelmäßig begleite, und davon, dass „manche Mitarbeiter manchmal Sachverhalte falsch einschätzten, weil sie nicht das gesamte Bild sähen." Er sagte wörtlich (nach Körbers Erinnerung): „Verrechnungspreise zwischen konzernverbundenen Unternehmen sind ein hochkomplexes Feld. Wenn man da von außen draufschaut, ohne die steuerliche Gesamtstrategie zu kennen, kann man leicht zu falschen Schlüssen kommen."</w:t>
      </w:r>
    </w:p>
    <w:p>
      <w:pPr>
        <w:spacing w:line="259" w:lineRule="auto" w:after="60"/>
        <w:jc w:val="left"/>
      </w:pPr>
      <w:r>
        <w:t>Auf Körbers direkte Rückfrage, worauf er sich beziehe, wich er aus: „Ich rede im Allgemeinen. Aber ich meine: wenn jemand Bedenken hat, sollte er zuerst intern mit mir oder mit dem Controlling sprechen, bevor er irgendwo etwas hinterlässt, das schwer zurückzunehmen ist."</w:t>
      </w:r>
    </w:p>
    <w:p>
      <w:pPr>
        <w:spacing w:line="259" w:lineRule="auto" w:after="60"/>
        <w:jc w:val="left"/>
      </w:pPr>
      <w:r>
        <w:t xml:space="preserve">Körber notierte: </w:t>
      </w:r>
      <w:r>
        <w:rPr>
          <w:i/>
        </w:rPr>
        <w:t>„Er hat die Meldung nicht erwähnt. Aber er meinte sie. Das war klar. Ich war so verblüfft, dass ich nichts Sinnvolles gesagt habe."</w:t>
      </w:r>
    </w:p>
    <w:p>
      <w:pPr>
        <w:spacing w:line="259" w:lineRule="auto" w:after="60"/>
        <w:jc w:val="left"/>
      </w:pPr>
      <w:r>
        <w:t>Kemnitz beendete das Gespräch nach ca. 20 Minuten mit: „Ich wollte das nur einmal ansprechen. Unter uns, ganz freundschaftlich."</w:t>
      </w:r>
    </w:p>
    <w:p>
      <w:pPr>
        <w:spacing w:line="259" w:lineRule="auto" w:after="60"/>
        <w:jc w:val="left"/>
      </w:pPr>
      <w:r>
        <w:rPr>
          <w:b/>
        </w:rPr>
        <w:t>Bewertung:</w:t>
      </w:r>
      <w:r>
        <w:t xml:space="preserve"> Keine explizite Benennung des Hinweises, aber inhaltliche Übereinstimmung mit dem Thema der Meldung ist eindeutig.</w:t>
      </w:r>
    </w:p>
    <w:p>
      <w:pPr>
        <w:spacing w:line="259" w:lineRule="auto" w:after="60"/>
      </w:pPr>
    </w:p>
    <w:p>
      <w:pPr>
        <w:pStyle w:val="Heading2"/>
        <w:spacing w:line="259" w:lineRule="auto" w:after="60"/>
      </w:pPr>
      <w:r>
        <w:rPr>
          <w:rFonts w:ascii="Times New Roman" w:hAnsi="Times New Roman"/>
        </w:rPr>
        <w:t>Gespräch 2: 09.07.2024, ca. 16:00 Uhr, Besprechungsraum 1 (Ebene 2), Verwaltungsgebäude Eberswalde</w:t>
      </w:r>
    </w:p>
    <w:p>
      <w:pPr>
        <w:spacing w:line="259" w:lineRule="auto" w:after="60"/>
        <w:jc w:val="left"/>
      </w:pPr>
      <w:r>
        <w:rPr>
          <w:b/>
        </w:rPr>
        <w:t>Anlass:</w:t>
      </w:r>
      <w:r>
        <w:t xml:space="preserve"> Dieses Mal kam Kemnitz ohne Voranmeldung in Körbers Büro und bat darum, „kurz nach nebenan" zu kommen.</w:t>
      </w:r>
    </w:p>
    <w:p>
      <w:pPr>
        <w:spacing w:line="259" w:lineRule="auto" w:after="60"/>
        <w:jc w:val="left"/>
      </w:pPr>
      <w:r>
        <w:rPr>
          <w:b/>
        </w:rPr>
        <w:t>Anwesende:</w:t>
      </w:r>
      <w:r>
        <w:t xml:space="preserve"> Dr. Lars Kemnitz, Dr. Annika Körber</w:t>
      </w:r>
    </w:p>
    <w:p>
      <w:pPr>
        <w:spacing w:line="259" w:lineRule="auto" w:after="60"/>
        <w:jc w:val="left"/>
      </w:pPr>
      <w:r>
        <w:rPr>
          <w:b/>
        </w:rPr>
        <w:t>Körbers Gesprächsnotiz:</w:t>
      </w:r>
    </w:p>
    <w:p>
      <w:pPr>
        <w:spacing w:line="259" w:lineRule="auto" w:after="60"/>
        <w:jc w:val="left"/>
      </w:pPr>
      <w:r>
        <w:t>Ton spürbar kühler als beim ersten Gespräch. Kemnitz sagte eingangs: „Ich muss Sie auf eine Sache aufmerksam machen, die für Sie persönlich wichtig sein könnte." Er erwähnte dann, dass im Rahmen einer internen Compliance-Prüfung aufgefallen sei, dass bestimmte vertrauliche Betriebsunterlagen (er sprach von „Beschaffungsdokumenten aus Q3/Q4 2023") außerhalb der üblichen Genehmigungskette eingesehen worden seien. Er schaute Körber dabei direkt an.</w:t>
      </w:r>
    </w:p>
    <w:p>
      <w:pPr>
        <w:spacing w:line="259" w:lineRule="auto" w:after="60"/>
        <w:jc w:val="left"/>
      </w:pPr>
      <w:r>
        <w:t xml:space="preserve">Körber schrieb: </w:t>
      </w:r>
      <w:r>
        <w:rPr>
          <w:i/>
        </w:rPr>
        <w:t>„Er hat nicht gesagt, dass ich das war. Aber er hat mich angeschaut, als ob ich ihm eine Bestätigung schulde."</w:t>
      </w:r>
    </w:p>
    <w:p>
      <w:pPr>
        <w:spacing w:line="259" w:lineRule="auto" w:after="60"/>
        <w:jc w:val="left"/>
      </w:pPr>
      <w:r>
        <w:t>Kemnitz fortfahrend: „Eine solche Einsichtnahme ohne Genehmigung könnte unter Umständen arbeitsrechtliche Konsequenzen haben. Ich sage das nur so. Wir haben kein offizielles Verfahren eingeleitet."</w:t>
      </w:r>
    </w:p>
    <w:p>
      <w:pPr>
        <w:spacing w:line="259" w:lineRule="auto" w:after="60"/>
        <w:jc w:val="left"/>
      </w:pPr>
      <w:r>
        <w:t>Körber antwortete, dass sie im Rahmen ihrer Werkleiterfunktion berechtigt sei, alle relevanten Betriebsunterlagen einzusehen. Kemnitz reagierte mit: „Natürlich. Ich meine das nur als Hinweis. Man muss aufpassen, was man mit solchen Informationen macht."</w:t>
      </w:r>
    </w:p>
    <w:p>
      <w:pPr>
        <w:spacing w:line="259" w:lineRule="auto" w:after="60"/>
        <w:jc w:val="left"/>
      </w:pPr>
      <w:r>
        <w:t>Körber verließ das Gespräch stark verunsichert. Hausarzttermin folgte wenige Tage später.</w:t>
      </w:r>
    </w:p>
    <w:p>
      <w:pPr>
        <w:spacing w:line="259" w:lineRule="auto" w:after="60"/>
      </w:pPr>
    </w:p>
    <w:p>
      <w:pPr>
        <w:pStyle w:val="Heading2"/>
        <w:spacing w:line="259" w:lineRule="auto" w:after="60"/>
      </w:pPr>
      <w:r>
        <w:rPr>
          <w:rFonts w:ascii="Times New Roman" w:hAnsi="Times New Roman"/>
        </w:rPr>
        <w:t>Gespräch 3: 22.07.2024 (telefonisch), ca. 08:15 Uhr</w:t>
      </w:r>
    </w:p>
    <w:p>
      <w:pPr>
        <w:spacing w:line="259" w:lineRule="auto" w:after="60"/>
        <w:jc w:val="left"/>
      </w:pPr>
      <w:r>
        <w:rPr>
          <w:b/>
        </w:rPr>
        <w:t>Anlass:</w:t>
      </w:r>
      <w:r>
        <w:t xml:space="preserve"> Körber war bereits seit dem 25.06.2024 krankgeschrieben. Kemnitz rief auf ihrem Privattelefon an.</w:t>
      </w:r>
    </w:p>
    <w:p>
      <w:pPr>
        <w:spacing w:line="259" w:lineRule="auto" w:after="60"/>
        <w:jc w:val="left"/>
      </w:pPr>
      <w:r>
        <w:rPr>
          <w:b/>
        </w:rPr>
        <w:t>Körbers Gesprächsnotiz:</w:t>
      </w:r>
    </w:p>
    <w:p>
      <w:pPr>
        <w:spacing w:line="259" w:lineRule="auto" w:after="60"/>
        <w:jc w:val="left"/>
      </w:pPr>
      <w:r>
        <w:t>Kemnitz sagte, er rufe an, um sich nach ihrem Wohlbefinden zu erkundigen. Nach kurzer Floskel: „Ich wollte nur kurz sagen, dass es manchmal besser ist, wenn gewisse Dinge erst gar nicht auf den Tisch kommen. Manche Weichen stellt man am besten bevor ein Zug fährt, verstehen Sie? Wir würden Ihnen gerne entgegenkommen, wenn es darum geht, Ihre Situation im Unternehmen zu festigen."</w:t>
      </w:r>
    </w:p>
    <w:p>
      <w:pPr>
        <w:spacing w:line="259" w:lineRule="auto" w:after="60"/>
        <w:jc w:val="left"/>
      </w:pPr>
      <w:r>
        <w:t>Körber antwortete kaum. Kemnitz: „Ich bin immer erreichbar, wenn Sie reden möchten. Das Angebot steht."</w:t>
      </w:r>
    </w:p>
    <w:p>
      <w:pPr>
        <w:spacing w:line="259" w:lineRule="auto" w:after="60"/>
        <w:jc w:val="left"/>
      </w:pPr>
      <w:r>
        <w:t xml:space="preserve">Körber notierte nach dem Gespräch: </w:t>
      </w:r>
      <w:r>
        <w:rPr>
          <w:i/>
        </w:rPr>
        <w:t>„Ich habe aufgelegt und gezittert. Ich wusste nicht, ob das eine Drohung war oder ein Angebot. Beides erschreckte mich gleichermaßen. Ich habe meiner Therapeutin davon erzählt."</w:t>
      </w:r>
    </w:p>
    <w:p>
      <w:pPr>
        <w:spacing w:line="259" w:lineRule="auto" w:after="60"/>
        <w:jc w:val="left"/>
      </w:pPr>
      <w:r>
        <w:t>Der Anruf erfolgte während der laufenden AU-Phase. Ob dies eine unzulässige Kontaktaufnahme während der Krankschreibung im Sinne von § 36 HinSchG darstellt, ist zu prüfen.</w:t>
      </w:r>
    </w:p>
    <w:p>
      <w:pPr>
        <w:spacing w:line="259" w:lineRule="auto" w:after="60"/>
      </w:pPr>
    </w:p>
    <w:p>
      <w:pPr>
        <w:pStyle w:val="Heading2"/>
        <w:spacing w:line="259" w:lineRule="auto" w:after="60"/>
      </w:pPr>
      <w:r>
        <w:rPr>
          <w:rFonts w:ascii="Times New Roman" w:hAnsi="Times New Roman"/>
        </w:rPr>
        <w:t>Rechtliche Einordnung und Beweisbedeutung (RA Reuß, 02.06.2025)</w:t>
      </w:r>
    </w:p>
    <w:p>
      <w:pPr>
        <w:spacing w:line="259" w:lineRule="auto" w:after="60"/>
        <w:jc w:val="left"/>
      </w:pPr>
      <w:r>
        <w:t>Die drei Gespräche sind für mehrere Streitstränge bedeutsam:</w:t>
      </w:r>
    </w:p>
    <w:p>
      <w:pPr>
        <w:pStyle w:val="ListBullet"/>
        <w:spacing w:line="259" w:lineRule="auto" w:after="60"/>
      </w:pPr>
      <w:r>
        <w:rPr>
          <w:b/>
        </w:rPr>
        <w:t>§ 36 HinSchG / Repressalieverbot:</w:t>
      </w:r>
      <w:r>
        <w:t xml:space="preserve"> Kemnitz' Äußerungen erfüllen — sofern beweisbar — den Tatbestand der Benachteiligung und Einschüchterung eines Hinweisgebers. Besonders der Anruf während der AU ist problematisch.</w:t>
      </w:r>
    </w:p>
    <w:p>
      <w:pPr>
        <w:pStyle w:val="ListBullet"/>
        <w:spacing w:line="259" w:lineRule="auto" w:after="60"/>
      </w:pPr>
      <w:r>
        <w:rPr>
          <w:b/>
        </w:rPr>
        <w:t>§ 612a BGB:</w:t>
      </w:r>
      <w:r>
        <w:t xml:space="preserve"> Maßregelungsverbot — die Eskalation der AU-Situation zeitlich unmittelbar nach den Gesprächen stützt den kausalen Zusammenhang.</w:t>
      </w:r>
    </w:p>
    <w:p>
      <w:pPr>
        <w:pStyle w:val="ListBullet"/>
        <w:spacing w:line="259" w:lineRule="auto" w:after="60"/>
      </w:pPr>
      <w:r>
        <w:rPr>
          <w:b/>
        </w:rPr>
        <w:t>Beweisführung:</w:t>
      </w:r>
      <w:r>
        <w:t xml:space="preserve"> Allein Körbers Notizen ohne Zeugen. Therapeutin Dr. Jäkel könnte mittelbar bestätigen, dass Körber ihr von diesen Gesprächen berichtete. Ob und was der Therapeutin gegenüber mitgeteilt wurde, liegt außerhalb der Aktenlage.</w:t>
      </w:r>
    </w:p>
    <w:p>
      <w:pPr>
        <w:spacing w:line="259" w:lineRule="auto" w:after="60"/>
        <w:jc w:val="left"/>
      </w:pPr>
      <w:r>
        <w:rPr>
          <w:i/>
        </w:rPr>
        <w:t>RA Dr. Jonas Reuß, 02.06.2025</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Klotzkette Rechtsanwaltsgesellschaft mbH | Arbeitsrechtliche Mandatsakte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