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EntgTranspG-Auskunftsersuchen und Antwort</w:t>
      </w:r>
    </w:p>
    <w:p>
      <w:pPr>
        <w:spacing w:line="259" w:lineRule="auto" w:after="60"/>
        <w:jc w:val="left"/>
      </w:pPr>
      <w:r>
        <w:t>Dokumentation des Auskunftsverfahrens nach § 10 EntgTranspG sowie der Vergleichsgehalts-Analyse für den Equal-Pay-Anspruch.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Auskunftsersuchen vom 04.03.2024</w:t>
      </w:r>
    </w:p>
    <w:p>
      <w:pPr>
        <w:spacing w:line="259" w:lineRule="auto" w:after="60"/>
        <w:jc w:val="left"/>
      </w:pPr>
      <w:r>
        <w:t>Körber stellte ihr Auskunftsersuchen am 04.03.2024 schriftlich per E-Mail an den HR-Leiter Holger Branitz. Da kein Betriebsrat-Beauftragter für EntgTranspG-Anfragen benannt war (die Steinhoff SE hat dies trotz Betriebsratspflicht nach § 10 Abs. 1 EntgTranspG versäumt), richtete sie sich direkt an HR.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Wortlaut der Anfrage (Auszug):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Sehr geehrter Herr Branitz,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gemäß § 10 Abs. 1 des Entgelttransparenzgesetzes (EntgTranspG) beantrage ich hiermit Auskunft über das Entgelt der Beschäftigten meines Vergleichsentgeltbereichs. Als Vergleichsentgelt im Sinne von § 10 Abs. 2 EntgTranspG bitte ich um Angabe des Medians der Entgelte der Beschäftigten, die eine gleiche oder gleichwertige Arbeit ausüben wie ich.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Meine Tätigkeit ist die der Werkleiterin Eberswalde (Stellenbeschreibung: Werkleiter/in Eberswalde, AT-Führungskraft Ebene 1). Ich bitte insbesondere um Auskunft über die Vergleichsgruppe der Werkleiterfunktionen im Konzern sowie über sonstige Beschäftigte, die nach der Stellenbeschreibung gleiche oder gleichwertige Tätigkeiten ausüben.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Ich erwarte die Auskunft innerhalb der gesetzlichen Frist von drei Monaten (§ 10 Abs. 1 Satz 5 EntgTranspG).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Dr. Annika Körber</w:t>
      </w:r>
    </w:p>
    <w:p>
      <w:pPr>
        <w:spacing w:line="259" w:lineRule="auto" w:after="60"/>
        <w:ind w:left="567"/>
      </w:pPr>
      <w:r>
        <w:rPr>
          <w:i/>
        </w:rPr>
        <w:t>04.03.2024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Eingangsbestätigung HR (06.03.2024)</w:t>
      </w:r>
    </w:p>
    <w:p>
      <w:pPr>
        <w:spacing w:line="259" w:lineRule="auto" w:after="60"/>
        <w:ind w:left="567"/>
      </w:pPr>
      <w:r>
        <w:rPr>
          <w:i/>
        </w:rPr>
        <w:t>„Ihre Anfrage ist eingegangen. Wir werden diese prüfen und Ihnen fristgerecht antworten."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Antwort der Steinhoff SE vom 14.06.2024</w:t>
      </w:r>
    </w:p>
    <w:p>
      <w:pPr>
        <w:spacing w:line="259" w:lineRule="auto" w:after="60"/>
        <w:jc w:val="left"/>
      </w:pPr>
      <w:r>
        <w:t>Antwort nach 102 Tagen (gesetzliche Frist: 3 Monate = 90 Tage — Fristversäumnis von 12 Tagen).</w:t>
      </w:r>
    </w:p>
    <w:p>
      <w:pPr>
        <w:spacing w:line="259" w:lineRule="auto" w:after="60"/>
        <w:jc w:val="left"/>
      </w:pPr>
      <w:r>
        <w:rPr>
          <w:b/>
        </w:rPr>
        <w:t>Auszug aus der Antwort:</w:t>
      </w:r>
    </w:p>
    <w:p>
      <w:pPr>
        <w:spacing w:line="259" w:lineRule="auto" w:after="60"/>
        <w:ind w:left="567"/>
      </w:pPr>
      <w:r>
        <w:rPr>
          <w:i/>
        </w:rPr>
        <w:t>Sehr geehrte Frau Dr. Körber,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zu Ihrer Anfrage vom 04.03.2024 teilen wir Folgendes mit: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Als AT-Führungskraft der Ebene 1 werden Sie einer Vergleichsgruppe von sechs Personen zugeordnet. Bei dieser Gruppe handelt es sich um Beschäftigte mit AT-Status, die nach internen Kriterien als mit Ihrer Position vergleichbar eingestuft wurden.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Median des Entgelts (fixer Jahresanteil, ohne variable Vergütung) der Vergleichsgruppe:</w:t>
      </w:r>
    </w:p>
    <w:p>
      <w:pPr>
        <w:spacing w:line="259" w:lineRule="auto" w:after="60"/>
        <w:ind w:left="567"/>
      </w:pPr>
      <w:r>
        <w:rPr>
          <w:b/>
          <w:i/>
        </w:rPr>
        <w:t>147.000 EUR brutto p.a.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Wir teilen Ihnen weiter mit, dass die individuelle Vergütung von Beschäftigten in der Vergleichsgruppe leistungs- und erfahrungsabhängig festgelegt wird und individuelle Abweichungen nach oben und unten zulässig sind.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Mit freundlichen Grüßen</w:t>
      </w:r>
    </w:p>
    <w:p>
      <w:pPr>
        <w:spacing w:line="259" w:lineRule="auto" w:after="60"/>
        <w:ind w:left="567"/>
      </w:pPr>
      <w:r>
        <w:rPr>
          <w:i/>
        </w:rPr>
        <w:t>Holger Branitz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Analyse und Bewertung (RA Reuß, 05.06.2025)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4.1 Inhalt der Antwort</w:t>
      </w:r>
    </w:p>
    <w:p>
      <w:pPr>
        <w:spacing w:line="259" w:lineRule="auto" w:after="60"/>
        <w:jc w:val="left"/>
      </w:pPr>
      <w:r>
        <w:t xml:space="preserve">Die Antwort enthält den Median des </w:t>
      </w:r>
      <w:r>
        <w:rPr>
          <w:b/>
        </w:rPr>
        <w:t>fixen</w:t>
      </w:r>
      <w:r>
        <w:t xml:space="preserve"> Jahresentgelts der Vergleichsgruppe (147.000 EUR). Körbers eigenes fixes Jahreseintgelt beträgt 134.000 EUR. Differenz: 13.000 EUR p.a. Dies entspricht einer Benachteiligung von ca. 8,8 % im fixen Anteil.</w:t>
      </w:r>
    </w:p>
    <w:p>
      <w:pPr>
        <w:spacing w:line="259" w:lineRule="auto" w:after="60"/>
        <w:jc w:val="left"/>
      </w:pPr>
      <w:r>
        <w:t>Tantieme und sonstige variable Bestandteile wurden von Steinhoff in der Antwort ausdrücklich ausgeklammert. Dies ist methodisch fragwürdig: § 5 Abs. 1 EntgTranspG erfasst alle Entgeltbestandteile, also auch variable Vergütungen, sofern diese nicht einzelfallbezogen sind (sondern für eine Gruppe gelten). Das Tantieme-System der Steinhoff SE ist nach den vorliegenden Informationen ein konzernweit geltendes System (§ 2 Abs. 2 des Grundvertrags) — es fiele daher unter den Entgeltbegriff des EntgTranspG.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4.2 Vorgänger Wolters</w:t>
      </w:r>
    </w:p>
    <w:p>
      <w:pPr>
        <w:spacing w:line="259" w:lineRule="auto" w:after="60"/>
        <w:jc w:val="left"/>
      </w:pPr>
      <w:r>
        <w:t>Für den Equal-Pay-Anspruch ist die Antwort zu vage. Körber verfügt über konkrete Informationen (aus dem Gespräch mit Ex-Kollegin Dratwa) zu Wolters' Vergütung: 178.000 EUR fix + 35.000 EUR Tantieme p.a. Körbers Vergütung: 134.000 EUR fix + max. 18.000 EUR Tantieme p.a.</w:t>
      </w:r>
    </w:p>
    <w:p>
      <w:pPr>
        <w:spacing w:line="259" w:lineRule="auto" w:after="60"/>
        <w:jc w:val="left"/>
      </w:pPr>
      <w:r>
        <w:t>Differenz fix: 44.000 EUR p.a.</w:t>
      </w:r>
    </w:p>
    <w:p>
      <w:pPr>
        <w:spacing w:line="259" w:lineRule="auto" w:after="60"/>
        <w:jc w:val="left"/>
      </w:pPr>
      <w:r>
        <w:t>Differenz Tantieme (Maximalbetrag): 17.000 EUR p.a.</w:t>
      </w:r>
    </w:p>
    <w:p>
      <w:pPr>
        <w:spacing w:line="259" w:lineRule="auto" w:after="60"/>
        <w:jc w:val="left"/>
      </w:pPr>
      <w:r>
        <w:t xml:space="preserve">Über vier Jahre (09/2021 bis 09/2025, rechnerisch bis Kündigung 31.12.2025): Differenz ca. </w:t>
      </w:r>
      <w:r>
        <w:rPr>
          <w:b/>
        </w:rPr>
        <w:t>176.000 bis 244.000 EUR</w:t>
      </w:r>
      <w:r>
        <w:t xml:space="preserve"> (abhängig von tatsächlich ausgezahlten Tantieme-Beträgen).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4.3 Indizwirkung nach § 22 AGG i.V.m. § 7 EntgTranspG</w:t>
      </w:r>
    </w:p>
    <w:p>
      <w:pPr>
        <w:spacing w:line="259" w:lineRule="auto" w:after="60"/>
        <w:jc w:val="left"/>
      </w:pPr>
      <w:r>
        <w:t>§ 22 AGG sieht eine geteilte Beweislast vor: Stellt die Arbeitnehmerin Indizien dar, die eine Diskriminierung nach § 1 AGG (Geschlecht) vermuten lassen, muss der Arbeitgeber beweisen, dass die unterschiedliche Behandlung nicht auf dem verbotenen Merkmal beruht.</w:t>
      </w:r>
    </w:p>
    <w:p>
      <w:pPr>
        <w:spacing w:line="259" w:lineRule="auto" w:after="60"/>
        <w:jc w:val="left"/>
      </w:pPr>
      <w:r>
        <w:t>Die vorliegende Konstellation bietet starke Indizien:</w:t>
      </w:r>
    </w:p>
    <w:p>
      <w:pPr>
        <w:pStyle w:val="ListBullet"/>
        <w:spacing w:line="259" w:lineRule="auto" w:after="60"/>
      </w:pPr>
      <w:r>
        <w:t>Identische Stellenbeschreibung (belegt durch Aktenstück 04)</w:t>
      </w:r>
    </w:p>
    <w:p>
      <w:pPr>
        <w:pStyle w:val="ListBullet"/>
        <w:spacing w:line="259" w:lineRule="auto" w:after="60"/>
      </w:pPr>
      <w:r>
        <w:t>Vorgänger männlich, Nachfolgerin weiblich, erhebliches Gehalts-Delta</w:t>
      </w:r>
    </w:p>
    <w:p>
      <w:pPr>
        <w:pStyle w:val="ListBullet"/>
        <w:spacing w:line="259" w:lineRule="auto" w:after="60"/>
      </w:pPr>
      <w:r>
        <w:t>EntgTranspG-Median der Vergleichsgruppe liegt über Körbers Vergütung</w:t>
      </w:r>
    </w:p>
    <w:p>
      <w:pPr>
        <w:pStyle w:val="ListBullet"/>
        <w:spacing w:line="259" w:lineRule="auto" w:after="60"/>
      </w:pPr>
      <w:r>
        <w:t>Keine sachlichen Unterschiede in Qualifikation und Verantwortungsumfang ersichtlich</w:t>
      </w:r>
    </w:p>
    <w:p>
      <w:pPr>
        <w:spacing w:line="259" w:lineRule="auto" w:after="60"/>
        <w:jc w:val="left"/>
      </w:pPr>
      <w:r>
        <w:t>Sachliche Rechtfertigung (§ 3 Abs. 2 EntgTranspG): Arbeitgeber kann sich auf leistungsabhängige Differenzierung berufen. Dies wird er müssen. Nach der Rechtsprechung des EuGH (Bilka-Kaufhaus, Rs. 170/84) muss die Rechtfertigung einem echten Bedürfnis entsprechen, geeignet und erforderlich sein.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4.4 Vergleichsgruppen-Zusammensetzung unklar</w:t>
      </w:r>
    </w:p>
    <w:p>
      <w:pPr>
        <w:spacing w:line="259" w:lineRule="auto" w:after="60"/>
        <w:jc w:val="left"/>
      </w:pPr>
      <w:r>
        <w:t>Branitz nannte sechs Personen in der Vergleichsgruppe, ohne diese zu benennen. In einem 850-Mitarbeiter-Konzern mit drei Werksleitern gibt es nur drei vergleichbare AT-Führungskräfte auf Ebene 1 (Imholz Salzgitter, Weigand Bautzen, und ggf. ehemalige). Die Vergleichsgruppe muss in einem etwaigen Klageverfahren aufgeklärt werden. Beweisantrag: Vorlage der vollständigen Vergleichsgruppenangehörigen und ihrer Entgelte nach § 142 ZPO.</w:t>
      </w:r>
    </w:p>
    <w:p>
      <w:pPr>
        <w:spacing w:line="259" w:lineRule="auto" w:after="60"/>
        <w:jc w:val="left"/>
      </w:pPr>
      <w:r>
        <w:rPr>
          <w:i/>
        </w:rPr>
        <w:t>RA Dr. Jonas Reuß, 05.06.2025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Vergleichsgehälter — Tabelle (anonymisiert)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Geschlecht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Festes Jahresgehalt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Variable Vergütung (max.)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Quelle / Status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Körber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Werkleiterin Eberswalde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134.000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Arbeitsvertrag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Wolters (Vorgänger)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Werkleiter Eberswalde bis 08/2021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178.000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35.000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Aussage Dratwa (Zeuge)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Imholz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Werkleiter Salzgitter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nicht bekannt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nicht bekannt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Weigand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Werkleiter Bautzen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nicht bekannt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nicht bekannt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Median Vergleichsgruppe (lt. Branitz)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AT-Ebene 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gemischt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147.000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nicht genannt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EntgTranspG-Auskunft</w:t>
            </w:r>
          </w:p>
        </w:tc>
      </w:tr>
    </w:tbl>
    <w:p>
      <w:pPr>
        <w:spacing w:line="259" w:lineRule="auto" w:after="60"/>
        <w:jc w:val="left"/>
      </w:pPr>
      <w:r>
        <w:t>Körbers fixes Jahresgehalt liegt 13.000 EUR unter dem Median der Vergleichsgruppe und 44.000 EUR unter dem Gehalt des männlichen Vorgängers auf identischer Position.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Klotzkette Rechtsanwaltsgesellschaft mbH | Arbeitsrechtliche Mandatsakte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