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Massenentlassungsanzeige — Ankündigung Standortschließung Eberswalde</w:t>
      </w:r>
    </w:p>
    <w:p>
      <w:pPr>
        <w:spacing w:line="259" w:lineRule="auto" w:after="60"/>
        <w:jc w:val="left"/>
      </w:pPr>
      <w:r>
        <w:t>Dokumentation der geplanten Massenentlassung und des Konsultationsverfahrens nach § 17 KSchG.</w:t>
      </w:r>
    </w:p>
    <w:p>
      <w:pPr>
        <w:spacing w:line="259" w:lineRule="auto" w:after="60"/>
      </w:pPr>
    </w:p>
    <w:p>
      <w:pPr>
        <w:pStyle w:val="Heading2"/>
        <w:spacing w:before="120" w:after="60" w:line="259" w:lineRule="auto"/>
      </w:pPr>
      <w:r>
        <w:rPr>
          <w:rFonts w:ascii="Times New Roman" w:hAnsi="Times New Roman"/>
          <w:b/>
          <w:sz w:val="22"/>
        </w:rPr>
        <w:t>1. Schließungsankündigung (28.04.2025)</w:t>
      </w:r>
    </w:p>
    <w:p>
      <w:pPr>
        <w:spacing w:line="259" w:lineRule="auto" w:after="60"/>
        <w:jc w:val="left"/>
      </w:pPr>
      <w:r>
        <w:t>Am 28.04.2025 wurde in einer außerordentlichen Belegschaftsversammlung im Werk Eberswalde (Produktionshalle 2, ca. 280 anwesende Mitarbeiter) durch Vorstandsvorsitzenden Maximilian Steinhoff-Pertz und HR-Leiter Holger Branitz die Schließung des Werks Eberswalde zum 31.12.2025 verkündet. Als Grund wurde der anhaltende Auftragsrückgang im Bereich Grauguss-Komponenten für Windenergieanlagen (rückläufiger Inlandsmarkt) sowie die mangelnde Konkurrenzfähigkeit des Standorts bei der Neuausrichtung auf Aluminium-Hochdruckguss (für die Werke Salzgitter und Bautzen modernisiert, Eberswalde nicht) angeführt.</w:t>
      </w:r>
    </w:p>
    <w:p>
      <w:pPr>
        <w:spacing w:line="259" w:lineRule="auto" w:after="60"/>
      </w:pPr>
    </w:p>
    <w:p>
      <w:pPr>
        <w:pStyle w:val="Heading2"/>
        <w:spacing w:before="120" w:after="60" w:line="259" w:lineRule="auto"/>
      </w:pPr>
      <w:r>
        <w:rPr>
          <w:rFonts w:ascii="Times New Roman" w:hAnsi="Times New Roman"/>
          <w:b/>
          <w:sz w:val="22"/>
        </w:rPr>
        <w:t>2. Schwellenwerte-Check nach § 17 Abs. 1 KSchG</w:t>
      </w:r>
    </w:p>
    <w:p>
      <w:pPr>
        <w:spacing w:line="259" w:lineRule="auto" w:after="60"/>
        <w:jc w:val="left"/>
      </w:pPr>
      <w:r>
        <w:t>Betrieb: Werk Eberswalde (eigenständiger Betrieb i.S.d. BetrVG und KSchG, 312 Mitarbeiter).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Wert</w:t>
            </w:r>
          </w:p>
        </w:tc>
        <w:tc>
          <w:tcPr>
            <w:tcW w:type="dxa" w:w="2268"/>
          </w:tcPr>
          <w:p>
            <w:r>
              <w:rPr>
                <w:rFonts w:ascii="Times New Roman" w:hAnsi="Times New Roman"/>
                <w:b/>
                <w:sz w:val="20"/>
              </w:rPr>
              <w:t>Schwelle (§ 17 Abs. 1 Nr. 2 KSchG)</w:t>
            </w:r>
          </w:p>
        </w:tc>
        <w:tc>
          <w:tcPr>
            <w:tcW w:type="dxa" w:w="2268"/>
          </w:tcPr>
          <w:p>
            <w:r>
              <w:rPr>
                <w:rFonts w:ascii="Times New Roman" w:hAnsi="Times New Roman"/>
                <w:b/>
                <w:sz w:val="20"/>
              </w:rPr>
              <w:t>Erreicht?</w:t>
            </w:r>
          </w:p>
        </w:tc>
      </w:tr>
      <w:tr>
        <w:tc>
          <w:tcPr>
            <w:tcW w:type="dxa" w:w="2268"/>
          </w:tcPr>
          <w:p>
            <w:r>
              <w:rPr>
                <w:rFonts w:ascii="Times New Roman" w:hAnsi="Times New Roman"/>
                <w:sz w:val="20"/>
              </w:rPr>
              <w:t>Mitarbeiter im Betrieb</w:t>
            </w:r>
          </w:p>
        </w:tc>
        <w:tc>
          <w:tcPr>
            <w:tcW w:type="dxa" w:w="2268"/>
          </w:tcPr>
          <w:p>
            <w:r>
              <w:rPr>
                <w:rFonts w:ascii="Times New Roman" w:hAnsi="Times New Roman"/>
                <w:sz w:val="20"/>
              </w:rPr>
              <w:t>312</w:t>
            </w:r>
          </w:p>
        </w:tc>
        <w:tc>
          <w:tcPr>
            <w:tcW w:type="dxa" w:w="2268"/>
          </w:tcPr>
          <w:p>
            <w:r>
              <w:rPr>
                <w:rFonts w:ascii="Times New Roman" w:hAnsi="Times New Roman"/>
                <w:sz w:val="20"/>
              </w:rPr>
              <w:t>60 bis 499</w:t>
            </w:r>
          </w:p>
        </w:tc>
        <w:tc>
          <w:tcPr>
            <w:tcW w:type="dxa" w:w="2268"/>
          </w:tcPr>
          <w:p>
            <w:r>
              <w:rPr>
                <w:rFonts w:ascii="Times New Roman" w:hAnsi="Times New Roman"/>
                <w:sz w:val="20"/>
              </w:rPr>
              <w:t>ja</w:t>
            </w:r>
          </w:p>
        </w:tc>
      </w:tr>
      <w:tr>
        <w:tc>
          <w:tcPr>
            <w:tcW w:type="dxa" w:w="2268"/>
          </w:tcPr>
          <w:p>
            <w:r>
              <w:rPr>
                <w:rFonts w:ascii="Times New Roman" w:hAnsi="Times New Roman"/>
                <w:sz w:val="20"/>
              </w:rPr>
              <w:t>Entlassungen innerhalb 30 Tage</w:t>
            </w:r>
          </w:p>
        </w:tc>
        <w:tc>
          <w:tcPr>
            <w:tcW w:type="dxa" w:w="2268"/>
          </w:tcPr>
          <w:p>
            <w:r>
              <w:rPr>
                <w:rFonts w:ascii="Times New Roman" w:hAnsi="Times New Roman"/>
                <w:sz w:val="20"/>
              </w:rPr>
              <w:t>voraussichtlich 312 (Gesamtschließung)</w:t>
            </w:r>
          </w:p>
        </w:tc>
        <w:tc>
          <w:tcPr>
            <w:tcW w:type="dxa" w:w="2268"/>
          </w:tcPr>
          <w:p>
            <w:r>
              <w:rPr>
                <w:rFonts w:ascii="Times New Roman" w:hAnsi="Times New Roman"/>
                <w:sz w:val="20"/>
              </w:rPr>
              <w:t>mindestens 25 bei 60–499 MA</w:t>
            </w:r>
          </w:p>
        </w:tc>
        <w:tc>
          <w:tcPr>
            <w:tcW w:type="dxa" w:w="2268"/>
          </w:tcPr>
          <w:p>
            <w:r>
              <w:rPr>
                <w:rFonts w:ascii="Times New Roman" w:hAnsi="Times New Roman"/>
                <w:b/>
                <w:sz w:val="20"/>
              </w:rPr>
              <w:t>weit überschritten</w:t>
            </w:r>
          </w:p>
        </w:tc>
      </w:tr>
    </w:tbl>
    <w:p>
      <w:pPr>
        <w:spacing w:line="259" w:lineRule="auto" w:after="60"/>
        <w:jc w:val="left"/>
      </w:pPr>
      <w:r>
        <w:t>Massenentlassungspflicht nach § 17 Abs. 1 Nr. 2 KSchG ist eindeutig ausgelöst. Konsultationsverfahren mit dem Betriebsrat nach § 17 Abs. 2 KSchG und Anzeige bei der Agentur für Arbeit Frankfurt (Oder) nach § 17 Abs. 1 KSchG sind Wirksamkeitsvoraussetzung für die Entlassungen.</w:t>
      </w:r>
    </w:p>
    <w:p>
      <w:pPr>
        <w:spacing w:line="259" w:lineRule="auto" w:after="60"/>
      </w:pPr>
    </w:p>
    <w:p>
      <w:pPr>
        <w:pStyle w:val="Heading2"/>
        <w:spacing w:line="259" w:lineRule="auto" w:after="60"/>
      </w:pPr>
      <w:r>
        <w:rPr>
          <w:rFonts w:ascii="Times New Roman" w:hAnsi="Times New Roman"/>
        </w:rPr>
        <w:t>3. Konsultationsverfahren nach § 17 Abs. 2 KSchG</w:t>
      </w:r>
    </w:p>
    <w:p>
      <w:pPr>
        <w:spacing w:line="259" w:lineRule="auto" w:after="60"/>
        <w:jc w:val="left"/>
      </w:pPr>
      <w:r>
        <w:t>Steinhoff SE hat den Betriebsrat am 28.04.2025 schriftlich über die geplante Massenentlassung unterrichtet (Unterrichtungsschreiben liegt nicht vor; BR-Vorsitzende Trzebinski bestätigt den Eingang eines Schreibens, das sie als „sehr knapp" bezeichnet). Das Konsultationsverfahren wurde nominell eingeleitet, jedoch:</w:t>
      </w:r>
    </w:p>
    <w:p>
      <w:pPr>
        <w:spacing w:line="259" w:lineRule="auto" w:after="60"/>
        <w:jc w:val="left"/>
      </w:pPr>
      <w:r>
        <w:rPr>
          <w:b/>
        </w:rPr>
        <w:t>Mangel 1 — Unvollständige Unterrichtung:</w:t>
      </w:r>
    </w:p>
    <w:p>
      <w:pPr>
        <w:spacing w:line="259" w:lineRule="auto" w:after="60"/>
        <w:jc w:val="left"/>
      </w:pPr>
      <w:r>
        <w:t>§ 17 Abs. 2 Satz 1 KSchG i.V.m. Art. 2 Abs. 3 RL 98/59/EG verlangt eine Unterrichtung über alle entscheidungserheblichen Faktoren: Gründe der geplanten Entlassungen, Zahl und Berufsgruppen der zu entlassenden Arbeitnehmer, Zeitraum, Auswahlkriterien, Berechnung von Abfindungen. Trzebinski bestätigt, dass weder Auswahlkriterien noch Abfindungsberechnungsgrundlagen mitgeteilt wurden.</w:t>
      </w:r>
    </w:p>
    <w:p>
      <w:pPr>
        <w:spacing w:line="259" w:lineRule="auto" w:after="60"/>
        <w:jc w:val="left"/>
      </w:pPr>
      <w:r>
        <w:rPr>
          <w:b/>
        </w:rPr>
        <w:t>Mangel 2 — Keine echte Beratung:</w:t>
      </w:r>
    </w:p>
    <w:p>
      <w:pPr>
        <w:spacing w:line="259" w:lineRule="auto" w:after="60"/>
        <w:jc w:val="left"/>
      </w:pPr>
      <w:r>
        <w:t>Steinhoff SE hat am 28.04.2025 das Schließungsdatum bereits als endgültig kommuniziert, bevor der Betriebsrat überhaupt Stellung nehmen konnte. Die Konsultation war damit auf die formelle Beteiligung reduziert, ohne die im Unionsrecht geforderte ernsthafte Verhandlungsbereitschaft. Der EuGH (C-385/18, Ciupa; C-596/20, INSS; grundlegend EuGH C-55/02, Kommission/Portugal) hat klargestellt, dass der Arbeitgeber die Massenentlassung nicht vor Abschluss des Konsultationsverfahrens beschließen darf.</w:t>
      </w:r>
    </w:p>
    <w:p>
      <w:pPr>
        <w:spacing w:line="259" w:lineRule="auto" w:after="60"/>
        <w:jc w:val="left"/>
      </w:pPr>
      <w:r>
        <w:rPr>
          <w:b/>
        </w:rPr>
        <w:t>Mangel 3 — Bescheinigung Konsultationsverfahren:</w:t>
      </w:r>
    </w:p>
    <w:p>
      <w:pPr>
        <w:spacing w:line="259" w:lineRule="auto" w:after="60"/>
        <w:jc w:val="left"/>
      </w:pPr>
      <w:r>
        <w:t>Die Massenentlassungsanzeige bei der Agentur für Arbeit (nach Körbers Kenntnis für Mai/Juni 2025 geplant) muss nach § 17 Abs. 3 Satz 2 KSchG die Stellungnahme des Betriebsrats beifügen oder erklären, warum diese nicht vorliegt. Liegt eine unvollständige Konsultation vor, ist die Stellungnahme des Betriebsrats inhaltlich unzureichend und die Anzeige fehlerhaft.</w:t>
      </w:r>
    </w:p>
    <w:p>
      <w:pPr>
        <w:spacing w:line="259" w:lineRule="auto" w:after="60"/>
      </w:pPr>
    </w:p>
    <w:p>
      <w:pPr>
        <w:pStyle w:val="Heading2"/>
        <w:spacing w:line="259" w:lineRule="auto" w:after="60"/>
      </w:pPr>
      <w:r>
        <w:rPr>
          <w:rFonts w:ascii="Times New Roman" w:hAnsi="Times New Roman"/>
        </w:rPr>
        <w:t>4. Geplante Massenentlassung — Überblick</w:t>
      </w:r>
    </w:p>
    <w:p>
      <w:pPr>
        <w:pStyle w:val="ListBullet"/>
        <w:spacing w:line="259" w:lineRule="auto" w:after="60"/>
      </w:pPr>
      <w:r>
        <w:t>Gesamtzahl betroffener Arbeitnehmer: ca. 312</w:t>
      </w:r>
    </w:p>
    <w:p>
      <w:pPr>
        <w:pStyle w:val="ListBullet"/>
        <w:spacing w:line="259" w:lineRule="auto" w:after="60"/>
      </w:pPr>
      <w:r>
        <w:t>Davon mit Betriebszugehörigkeit &gt; 10 Jahre: schätzungsweise 60–70 %</w:t>
      </w:r>
    </w:p>
    <w:p>
      <w:pPr>
        <w:pStyle w:val="ListBullet"/>
        <w:spacing w:line="259" w:lineRule="auto" w:after="60"/>
      </w:pPr>
      <w:r>
        <w:t>Kündigungsfristen: gemäß § 622 BGB, für viele Mitarbeiter 4–7 Monate</w:t>
      </w:r>
    </w:p>
    <w:p>
      <w:pPr>
        <w:pStyle w:val="ListBullet"/>
        <w:spacing w:line="259" w:lineRule="auto" w:after="60"/>
      </w:pPr>
      <w:r>
        <w:t>Geplanter frühester Entlassungszeitpunkt: 01.07.2025 (für Mitarbeiter mit kürzeren Fristen)</w:t>
      </w:r>
    </w:p>
    <w:p>
      <w:pPr>
        <w:pStyle w:val="ListBullet"/>
        <w:spacing w:line="259" w:lineRule="auto" w:after="60"/>
      </w:pPr>
      <w:r>
        <w:t>Letzter Entlassungszeitpunkt: 31.12.2025</w:t>
      </w:r>
    </w:p>
    <w:p>
      <w:pPr>
        <w:spacing w:line="259" w:lineRule="auto" w:after="60"/>
        <w:jc w:val="left"/>
      </w:pPr>
      <w:r>
        <w:t>Anzeige bei Agentur für Arbeit Frankfurt (Oder), Referat Massenentlassungsanzeige, ist für Ende Mai / Anfang Juni 2025 angekündigt.</w:t>
      </w:r>
    </w:p>
    <w:p>
      <w:pPr>
        <w:spacing w:line="259" w:lineRule="auto" w:after="60"/>
      </w:pPr>
    </w:p>
    <w:p>
      <w:pPr>
        <w:pStyle w:val="Heading2"/>
        <w:spacing w:line="259" w:lineRule="auto" w:after="60"/>
      </w:pPr>
      <w:r>
        <w:rPr>
          <w:rFonts w:ascii="Times New Roman" w:hAnsi="Times New Roman"/>
        </w:rPr>
        <w:t>5. Relevanz für Körbers Kündigung</w:t>
      </w:r>
    </w:p>
    <w:p>
      <w:pPr>
        <w:spacing w:line="259" w:lineRule="auto" w:after="60"/>
        <w:jc w:val="left"/>
      </w:pPr>
      <w:r>
        <w:t>Die Kündigung Körbers vom 22.05.2025 erfolgte vor Erstattung der Massenentlassungsanzeige (soweit bekannt). Nach der Rechtsprechung des BAG (BAG 22.09.2016 – 2 AZR 276/16, im Anschluss an EuGH C-182/13, Lyttle) ist eine Kündigung, die vor oder ohne ordnungsgemäße Massenentlassungsanzeige ausgesprochen wird, unwirksam. Dies gilt auch dann, wenn die Kündigung selbst ordnungsgemäß begründet ist.</w:t>
      </w:r>
    </w:p>
    <w:p>
      <w:pPr>
        <w:spacing w:line="259" w:lineRule="auto" w:after="60"/>
        <w:jc w:val="left"/>
      </w:pPr>
      <w:r>
        <w:t>Die Klagebegründung wird diesen Aspekt als eigenständigen Unwirksamkeitsgrund im Rahmen des Hauptantrags führen.</w:t>
      </w:r>
    </w:p>
    <w:p>
      <w:pPr>
        <w:spacing w:line="259" w:lineRule="auto" w:after="60"/>
        <w:jc w:val="left"/>
      </w:pPr>
      <w:r>
        <w:rPr>
          <w:b/>
        </w:rPr>
        <w:t>Kritischer Zeitpunkt:</w:t>
      </w:r>
      <w:r>
        <w:t xml:space="preserve"> Hat die Steinhoff SE die Massenentlassungsanzeige bereits vor dem 22.05.2025 erstattet? Branitz soll laut einer Aussage von Trzebinski angedeutet haben, die Anzeige erst „nach den ersten Kündigungen" einzureichen. Falls das zutrifft, wäre Körbers Kündigung durch Massenentlassungsfehler selbstständig unwirksam.</w:t>
      </w:r>
    </w:p>
    <w:p>
      <w:pPr>
        <w:spacing w:line="259" w:lineRule="auto" w:after="60"/>
        <w:jc w:val="left"/>
      </w:pPr>
      <w:r>
        <w:rPr>
          <w:b/>
        </w:rPr>
        <w:t>Beweisantrag:</w:t>
      </w:r>
      <w:r>
        <w:t xml:space="preserve"> Vorlage der Massenentlassungsanzeige und des Eingangsstempels der Agentur für Arbeit.</w:t>
      </w:r>
    </w:p>
    <w:p>
      <w:pPr>
        <w:spacing w:line="259" w:lineRule="auto" w:after="60"/>
        <w:jc w:val="left"/>
      </w:pPr>
      <w:r>
        <w:rPr>
          <w:i/>
        </w:rPr>
        <w:t>RA Dr. Jonas Reuß, 05.06.2025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