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Senior-Advisor-Befristung — TzBfG-Analyse und Entfristungsklage-Überlegungen</w:t>
      </w:r>
    </w:p>
    <w:p>
      <w:pPr>
        <w:spacing w:line="259" w:lineRule="auto" w:after="60"/>
        <w:jc w:val="left"/>
      </w:pPr>
      <w:r>
        <w:t>Internes Arbeitsvermerk. Stand 05.06.2025. RA Dr. Jonas Reuß.</w:t>
      </w:r>
    </w:p>
    <w:p>
      <w:pPr>
        <w:spacing w:line="259" w:lineRule="auto" w:after="60"/>
      </w:pPr>
    </w:p>
    <w:p>
      <w:pPr>
        <w:pStyle w:val="Heading2"/>
        <w:spacing w:before="120" w:after="60" w:line="259" w:lineRule="auto"/>
      </w:pPr>
      <w:r>
        <w:rPr>
          <w:rFonts w:ascii="Times New Roman" w:hAnsi="Times New Roman"/>
          <w:b/>
          <w:sz w:val="22"/>
        </w:rPr>
        <w:t>1. Sachverhalt (Vertragskette)</w:t>
      </w:r>
    </w:p>
    <w:p>
      <w:pPr>
        <w:spacing w:line="259" w:lineRule="auto" w:after="60"/>
        <w:jc w:val="left"/>
      </w:pPr>
      <w:r>
        <w:t>Neben ihrer Haupttätigkeit als Werkleiterin Eberswalde übernahm Körber ab Februar 2023 eine befristete Zusatzfunktion als „Senior Advisor Konzernprozesse" im Umfang von 20 % ihrer vertraglichen Arbeitszeit (8 Stunden/Woche). Grundlage: gesonderte Ergänzungsvereinbarung (Aktenstück 03). Die Vergütung umfasste eine Zulage von 1.200 EUR brutto/Monat.</w:t>
      </w:r>
    </w:p>
    <w:p>
      <w:pPr>
        <w:spacing w:before="120" w:after="60" w:line="259" w:lineRule="auto"/>
        <w:jc w:val="left"/>
      </w:pPr>
      <w:r>
        <w:rPr>
          <w:rFonts w:ascii="Times New Roman" w:hAnsi="Times New Roman"/>
          <w:b/>
          <w:sz w:val="22"/>
        </w:rPr>
        <w:t>Verlängerungskette: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Nr.</w:t>
            </w:r>
          </w:p>
        </w:tc>
        <w:tc>
          <w:tcPr>
            <w:tcW w:type="dxa" w:w="1814"/>
          </w:tcPr>
          <w:p>
            <w:r>
              <w:rPr>
                <w:rFonts w:ascii="Times New Roman" w:hAnsi="Times New Roman"/>
                <w:b/>
                <w:sz w:val="20"/>
              </w:rPr>
              <w:t>Laufzeit</w:t>
            </w:r>
          </w:p>
        </w:tc>
        <w:tc>
          <w:tcPr>
            <w:tcW w:type="dxa" w:w="1814"/>
          </w:tcPr>
          <w:p>
            <w:r>
              <w:rPr>
                <w:rFonts w:ascii="Times New Roman" w:hAnsi="Times New Roman"/>
                <w:b/>
                <w:sz w:val="20"/>
              </w:rPr>
              <w:t>Form</w:t>
            </w:r>
          </w:p>
        </w:tc>
        <w:tc>
          <w:tcPr>
            <w:tcW w:type="dxa" w:w="1814"/>
          </w:tcPr>
          <w:p>
            <w:r>
              <w:rPr>
                <w:rFonts w:ascii="Times New Roman" w:hAnsi="Times New Roman"/>
                <w:b/>
                <w:sz w:val="20"/>
              </w:rPr>
              <w:t>Sachgrund benannt?</w:t>
            </w:r>
          </w:p>
        </w:tc>
        <w:tc>
          <w:tcPr>
            <w:tcW w:type="dxa" w:w="1814"/>
          </w:tcPr>
          <w:p>
            <w:r>
              <w:rPr>
                <w:rFonts w:ascii="Times New Roman" w:hAnsi="Times New Roman"/>
                <w:b/>
                <w:sz w:val="20"/>
              </w:rPr>
              <w:t>Gesamtlaufzeit bis Ende</w:t>
            </w:r>
          </w:p>
        </w:tc>
      </w:tr>
      <w:tr>
        <w:tc>
          <w:tcPr>
            <w:tcW w:type="dxa" w:w="1814"/>
          </w:tcPr>
          <w:p>
            <w:r>
              <w:rPr>
                <w:rFonts w:ascii="Times New Roman" w:hAnsi="Times New Roman"/>
                <w:sz w:val="20"/>
              </w:rPr>
              <w:t>Ursprungsvertrag</w:t>
            </w:r>
          </w:p>
        </w:tc>
        <w:tc>
          <w:tcPr>
            <w:tcW w:type="dxa" w:w="1814"/>
          </w:tcPr>
          <w:p>
            <w:r>
              <w:rPr>
                <w:rFonts w:ascii="Times New Roman" w:hAnsi="Times New Roman"/>
                <w:sz w:val="20"/>
              </w:rPr>
              <w:t>15.02.2023–14.08.2023</w:t>
            </w:r>
          </w:p>
        </w:tc>
        <w:tc>
          <w:tcPr>
            <w:tcW w:type="dxa" w:w="1814"/>
          </w:tcPr>
          <w:p>
            <w:r>
              <w:rPr>
                <w:rFonts w:ascii="Times New Roman" w:hAnsi="Times New Roman"/>
                <w:sz w:val="20"/>
              </w:rPr>
              <w:t>schriftlich</w:t>
            </w:r>
          </w:p>
        </w:tc>
        <w:tc>
          <w:tcPr>
            <w:tcW w:type="dxa" w:w="1814"/>
          </w:tcPr>
          <w:p>
            <w:r>
              <w:rPr>
                <w:rFonts w:ascii="Times New Roman" w:hAnsi="Times New Roman"/>
                <w:sz w:val="20"/>
              </w:rPr>
              <w:t>nein (§ 14 Abs. 2 TzBfG)</w:t>
            </w:r>
          </w:p>
        </w:tc>
        <w:tc>
          <w:tcPr>
            <w:tcW w:type="dxa" w:w="1814"/>
          </w:tcPr>
          <w:p>
            <w:r>
              <w:rPr>
                <w:rFonts w:ascii="Times New Roman" w:hAnsi="Times New Roman"/>
                <w:sz w:val="20"/>
              </w:rPr>
              <w:t>6 Monate</w:t>
            </w:r>
          </w:p>
        </w:tc>
      </w:tr>
      <w:tr>
        <w:tc>
          <w:tcPr>
            <w:tcW w:type="dxa" w:w="1814"/>
          </w:tcPr>
          <w:p>
            <w:r>
              <w:rPr>
                <w:rFonts w:ascii="Times New Roman" w:hAnsi="Times New Roman"/>
                <w:sz w:val="20"/>
              </w:rPr>
              <w:t>Verlängerung I</w:t>
            </w:r>
          </w:p>
        </w:tc>
        <w:tc>
          <w:tcPr>
            <w:tcW w:type="dxa" w:w="1814"/>
          </w:tcPr>
          <w:p>
            <w:r>
              <w:rPr>
                <w:rFonts w:ascii="Times New Roman" w:hAnsi="Times New Roman"/>
                <w:sz w:val="20"/>
              </w:rPr>
              <w:t>15.08.2023–14.02.2024</w:t>
            </w:r>
          </w:p>
        </w:tc>
        <w:tc>
          <w:tcPr>
            <w:tcW w:type="dxa" w:w="1814"/>
          </w:tcPr>
          <w:p>
            <w:r>
              <w:rPr>
                <w:rFonts w:ascii="Times New Roman" w:hAnsi="Times New Roman"/>
                <w:sz w:val="20"/>
              </w:rPr>
              <w:t>schriftlich</w:t>
            </w:r>
          </w:p>
        </w:tc>
        <w:tc>
          <w:tcPr>
            <w:tcW w:type="dxa" w:w="1814"/>
          </w:tcPr>
          <w:p>
            <w:r>
              <w:rPr>
                <w:rFonts w:ascii="Times New Roman" w:hAnsi="Times New Roman"/>
                <w:sz w:val="20"/>
              </w:rPr>
              <w:t>nein</w:t>
            </w:r>
          </w:p>
        </w:tc>
        <w:tc>
          <w:tcPr>
            <w:tcW w:type="dxa" w:w="1814"/>
          </w:tcPr>
          <w:p>
            <w:r>
              <w:rPr>
                <w:rFonts w:ascii="Times New Roman" w:hAnsi="Times New Roman"/>
                <w:sz w:val="20"/>
              </w:rPr>
              <w:t>12 Monate</w:t>
            </w:r>
          </w:p>
        </w:tc>
      </w:tr>
      <w:tr>
        <w:tc>
          <w:tcPr>
            <w:tcW w:type="dxa" w:w="1814"/>
          </w:tcPr>
          <w:p>
            <w:r>
              <w:rPr>
                <w:rFonts w:ascii="Times New Roman" w:hAnsi="Times New Roman"/>
                <w:sz w:val="20"/>
              </w:rPr>
              <w:t>Verlängerung II</w:t>
            </w:r>
          </w:p>
        </w:tc>
        <w:tc>
          <w:tcPr>
            <w:tcW w:type="dxa" w:w="1814"/>
          </w:tcPr>
          <w:p>
            <w:r>
              <w:rPr>
                <w:rFonts w:ascii="Times New Roman" w:hAnsi="Times New Roman"/>
                <w:sz w:val="20"/>
              </w:rPr>
              <w:t>15.02.2024–14.08.2024</w:t>
            </w:r>
          </w:p>
        </w:tc>
        <w:tc>
          <w:tcPr>
            <w:tcW w:type="dxa" w:w="1814"/>
          </w:tcPr>
          <w:p>
            <w:r>
              <w:rPr>
                <w:rFonts w:ascii="Times New Roman" w:hAnsi="Times New Roman"/>
                <w:sz w:val="20"/>
              </w:rPr>
              <w:t>schriftlich</w:t>
            </w:r>
          </w:p>
        </w:tc>
        <w:tc>
          <w:tcPr>
            <w:tcW w:type="dxa" w:w="1814"/>
          </w:tcPr>
          <w:p>
            <w:r>
              <w:rPr>
                <w:rFonts w:ascii="Times New Roman" w:hAnsi="Times New Roman"/>
                <w:sz w:val="20"/>
              </w:rPr>
              <w:t>nein</w:t>
            </w:r>
          </w:p>
        </w:tc>
        <w:tc>
          <w:tcPr>
            <w:tcW w:type="dxa" w:w="1814"/>
          </w:tcPr>
          <w:p>
            <w:r>
              <w:rPr>
                <w:rFonts w:ascii="Times New Roman" w:hAnsi="Times New Roman"/>
                <w:sz w:val="20"/>
              </w:rPr>
              <w:t>18 Monate</w:t>
            </w:r>
          </w:p>
        </w:tc>
      </w:tr>
      <w:tr>
        <w:tc>
          <w:tcPr>
            <w:tcW w:type="dxa" w:w="1814"/>
          </w:tcPr>
          <w:p>
            <w:r>
              <w:rPr>
                <w:rFonts w:ascii="Times New Roman" w:hAnsi="Times New Roman"/>
                <w:sz w:val="20"/>
              </w:rPr>
              <w:t>Verlängerung III</w:t>
            </w:r>
          </w:p>
        </w:tc>
        <w:tc>
          <w:tcPr>
            <w:tcW w:type="dxa" w:w="1814"/>
          </w:tcPr>
          <w:p>
            <w:r>
              <w:rPr>
                <w:rFonts w:ascii="Times New Roman" w:hAnsi="Times New Roman"/>
                <w:sz w:val="20"/>
              </w:rPr>
              <w:t>„September 2024" (mündlich)</w:t>
            </w:r>
          </w:p>
        </w:tc>
        <w:tc>
          <w:tcPr>
            <w:tcW w:type="dxa" w:w="1814"/>
          </w:tcPr>
          <w:p>
            <w:r>
              <w:rPr>
                <w:rFonts w:ascii="Times New Roman" w:hAnsi="Times New Roman"/>
                <w:sz w:val="20"/>
              </w:rPr>
              <w:t>mündlich</w:t>
            </w:r>
          </w:p>
        </w:tc>
        <w:tc>
          <w:tcPr>
            <w:tcW w:type="dxa" w:w="1814"/>
          </w:tcPr>
          <w:p>
            <w:r>
              <w:rPr>
                <w:rFonts w:ascii="Times New Roman" w:hAnsi="Times New Roman"/>
                <w:sz w:val="20"/>
              </w:rPr>
              <w:t>nein</w:t>
            </w:r>
          </w:p>
        </w:tc>
        <w:tc>
          <w:tcPr>
            <w:tcW w:type="dxa" w:w="1814"/>
          </w:tcPr>
          <w:p>
            <w:r>
              <w:rPr>
                <w:rFonts w:ascii="Times New Roman" w:hAnsi="Times New Roman"/>
                <w:sz w:val="20"/>
              </w:rPr>
              <w:t>ca. 24–25 Monate</w:t>
            </w:r>
          </w:p>
        </w:tc>
      </w:tr>
      <w:tr>
        <w:tc>
          <w:tcPr>
            <w:tcW w:type="dxa" w:w="1814"/>
          </w:tcPr>
          <w:p>
            <w:r>
              <w:rPr>
                <w:rFonts w:ascii="Times New Roman" w:hAnsi="Times New Roman"/>
                <w:sz w:val="20"/>
              </w:rPr>
              <w:t>Verlängerung IV</w:t>
            </w:r>
          </w:p>
        </w:tc>
        <w:tc>
          <w:tcPr>
            <w:tcW w:type="dxa" w:w="1814"/>
          </w:tcPr>
          <w:p>
            <w:r>
              <w:rPr>
                <w:rFonts w:ascii="Times New Roman" w:hAnsi="Times New Roman"/>
                <w:sz w:val="20"/>
              </w:rPr>
              <w:t>„Anfang 2025" (mündlich)</w:t>
            </w:r>
          </w:p>
        </w:tc>
        <w:tc>
          <w:tcPr>
            <w:tcW w:type="dxa" w:w="1814"/>
          </w:tcPr>
          <w:p>
            <w:r>
              <w:rPr>
                <w:rFonts w:ascii="Times New Roman" w:hAnsi="Times New Roman"/>
                <w:sz w:val="20"/>
              </w:rPr>
              <w:t>mündlich</w:t>
            </w:r>
          </w:p>
        </w:tc>
        <w:tc>
          <w:tcPr>
            <w:tcW w:type="dxa" w:w="1814"/>
          </w:tcPr>
          <w:p>
            <w:r>
              <w:rPr>
                <w:rFonts w:ascii="Times New Roman" w:hAnsi="Times New Roman"/>
                <w:sz w:val="20"/>
              </w:rPr>
              <w:t>nein</w:t>
            </w:r>
          </w:p>
        </w:tc>
        <w:tc>
          <w:tcPr>
            <w:tcW w:type="dxa" w:w="1814"/>
          </w:tcPr>
          <w:p>
            <w:r>
              <w:rPr>
                <w:rFonts w:ascii="Times New Roman" w:hAnsi="Times New Roman"/>
                <w:sz w:val="20"/>
              </w:rPr>
              <w:t>ca. 30 Monate</w:t>
            </w:r>
          </w:p>
        </w:tc>
      </w:tr>
    </w:tbl>
    <w:p>
      <w:pPr>
        <w:spacing w:line="259" w:lineRule="auto" w:after="60"/>
      </w:pPr>
    </w:p>
    <w:p>
      <w:pPr>
        <w:pStyle w:val="Heading2"/>
        <w:spacing w:before="120" w:after="60" w:line="259" w:lineRule="auto"/>
      </w:pPr>
      <w:r>
        <w:rPr>
          <w:rFonts w:ascii="Times New Roman" w:hAnsi="Times New Roman"/>
          <w:b/>
          <w:sz w:val="22"/>
        </w:rPr>
        <w:t>2. Rechtliche Analyse</w:t>
      </w:r>
    </w:p>
    <w:p>
      <w:pPr>
        <w:pStyle w:val="Heading3"/>
        <w:spacing w:line="259" w:lineRule="auto" w:after="60"/>
      </w:pPr>
      <w:r>
        <w:rPr>
          <w:rFonts w:ascii="Times New Roman" w:hAnsi="Times New Roman"/>
        </w:rPr>
        <w:t>2.1 Sachgrundlose Befristung nach § 14 Abs. 2 TzBfG</w:t>
      </w:r>
    </w:p>
    <w:p>
      <w:pPr>
        <w:spacing w:line="259" w:lineRule="auto" w:after="60"/>
        <w:jc w:val="left"/>
      </w:pPr>
      <w:r>
        <w:t>§ 14 Abs. 2 Satz 1 TzBfG lässt die sachgrundlose Befristung eines Arbeitsvertrags bis zur Gesamtdauer von zwei Jahren zu; bis zu dieser Gesamtdauer ist auch die höchstens dreimalige Verlängerung der sachgrundlosen Befristung zulässig.</w:t>
      </w:r>
    </w:p>
    <w:p>
      <w:pPr>
        <w:spacing w:line="259" w:lineRule="auto" w:after="60"/>
        <w:jc w:val="left"/>
      </w:pPr>
      <w:r>
        <w:t>Hier: Ursprungsvertrag + drei schriftliche Verlängerungen = vier Vertragsphasen. Die dritte Verlängerung (Verlängerung III) begann nach Ablauf der ersten 18 Monate, also zu einem Zeitpunkt, als die Gesamtdauer bereits 18 Monate erreicht hatte. Die Verlängerung bis ca. Ende August 2024 (rechnerisch) hätte die 24-Monatsobergrenze knapp noch eingehalten. Kritisch wird es spätestens bei Verlängerung III:</w:t>
      </w:r>
    </w:p>
    <w:p>
      <w:pPr>
        <w:spacing w:line="259" w:lineRule="auto" w:after="60"/>
        <w:jc w:val="left"/>
      </w:pPr>
      <w:r>
        <w:rPr>
          <w:b/>
        </w:rPr>
        <w:t>Ab Verlängerung III (September 2024):</w:t>
      </w:r>
      <w:r>
        <w:t xml:space="preserve"> Die sachgrundlose Befristung läuft über 24 Monate hinaus. § 14 Abs. 2 Satz 1 TzBfG erlaubt dies nur, wenn ein Tarifvertrag oder eine auf Tarifvertrag beruhende Betriebs- oder Dienstvereinbarung eine längere Höchstdauer oder mehr Verlängerungen zulässt. Ein solcher Tarifvertrag existiert bei der Steinhoff SE für AT-Mitarbeiter nicht.</w:t>
      </w:r>
    </w:p>
    <w:p>
      <w:pPr>
        <w:spacing w:line="259" w:lineRule="auto" w:after="60"/>
        <w:jc w:val="left"/>
      </w:pPr>
      <w:r>
        <w:rPr>
          <w:b/>
        </w:rPr>
        <w:t>Rechtsfolge:</w:t>
      </w:r>
      <w:r>
        <w:t xml:space="preserve"> Die Verlängerung III und IV sind nach § 16 Satz 1 TzBfG nichtig; die Befristung gilt insoweit nicht. Der Bestandteil des Arbeitsverhältnisses (Senior-Advisor-Funktion) gilt als auf unbestimmte Zeit vereinbart.</w:t>
      </w:r>
    </w:p>
    <w:p>
      <w:pPr>
        <w:pStyle w:val="Heading3"/>
        <w:spacing w:line="259" w:lineRule="auto" w:after="60"/>
      </w:pPr>
      <w:r>
        <w:rPr>
          <w:rFonts w:ascii="Times New Roman" w:hAnsi="Times New Roman"/>
        </w:rPr>
        <w:t>2.2 Schriftformverstoß nach § 14 Abs. 4 TzBfG</w:t>
      </w:r>
    </w:p>
    <w:p>
      <w:pPr>
        <w:spacing w:line="259" w:lineRule="auto" w:after="60"/>
        <w:jc w:val="left"/>
      </w:pPr>
      <w:r>
        <w:t>§ 14 Abs. 4 TzBfG verlangt, dass die Befristungsabrede schriftlich erfolgt (§ 126 BGB). Die Verlängerungen III und IV wurden nach Körbers Angaben mündlich vereinbart. Ein mündlich verlängerter befristeter Vertrag ist nach § 14 Abs. 4 TzBfG formunwirksam; die Befristung ist nichtig, der Vertrag gilt gemäß § 16 Satz 1 TzBfG als auf unbestimmte Zeit geschlossen.</w:t>
      </w:r>
    </w:p>
    <w:p>
      <w:pPr>
        <w:spacing w:line="259" w:lineRule="auto" w:after="60"/>
        <w:jc w:val="left"/>
      </w:pPr>
      <w:r>
        <w:t>Dies bedeutet: Auch wenn man die sachgrundlose Befristung bis 18 oder 24 Monate als wirksam ansieht, sind die mündlichen Verlängerungen formunwirksam.</w:t>
      </w:r>
    </w:p>
    <w:p>
      <w:pPr>
        <w:pStyle w:val="Heading3"/>
        <w:spacing w:line="259" w:lineRule="auto" w:after="60"/>
      </w:pPr>
      <w:r>
        <w:rPr>
          <w:rFonts w:ascii="Times New Roman" w:hAnsi="Times New Roman"/>
        </w:rPr>
        <w:t>2.3 Praktische Konsequenz: Was ist entfristet?</w:t>
      </w:r>
    </w:p>
    <w:p>
      <w:pPr>
        <w:spacing w:line="259" w:lineRule="auto" w:after="60"/>
        <w:jc w:val="left"/>
      </w:pPr>
      <w:r>
        <w:t>Der Senior-Advisor-Anteil (20 % Arbeitszeit, 1.200 EUR Monatszulage) gilt als unbefristet vereinbart. Da Körbers Hauptarbeitsverhältnis ordentlich zum 31.12.2025 gekündigt wurde, ist der Senior-Advisor-Anteil als integraler Bestandteil des Arbeitsverhältnisses davon erfasst.</w:t>
      </w:r>
    </w:p>
    <w:p>
      <w:pPr>
        <w:spacing w:line="259" w:lineRule="auto" w:after="60"/>
        <w:jc w:val="left"/>
      </w:pPr>
      <w:r>
        <w:t>Die praktische Relevanz liegt daher weniger in einer eigenständigen Entfristungsklage (das Arbeitsverhältnis insgesamt läuft bis 31.12.2025) als in der Frage:</w:t>
      </w:r>
    </w:p>
    <w:p>
      <w:pPr>
        <w:pStyle w:val="ListNumber"/>
        <w:spacing w:line="259" w:lineRule="auto" w:after="60"/>
      </w:pPr>
      <w:r>
        <w:rPr>
          <w:b/>
        </w:rPr>
        <w:t>Vergütungsanspruch:</w:t>
      </w:r>
      <w:r>
        <w:t xml:space="preserve"> Körber hat seit September 2024 möglicherweise weiter Anspruch auf die 1.200 EUR Monatszulage, auch wenn die Steinhoff SE die mündliche Verlängerung bestreitet. Bei einer Klage auf Entfristung und Feststellung des Senior-Advisor-Anteils als unbefristet ergibt sich ein monatlicher Nachzahlungsanspruch von 1.200 EUR.</w:t>
      </w:r>
    </w:p>
    <w:p>
      <w:pPr>
        <w:pStyle w:val="ListNumber"/>
        <w:spacing w:line="259" w:lineRule="auto" w:after="60"/>
      </w:pPr>
      <w:r>
        <w:rPr>
          <w:b/>
        </w:rPr>
        <w:t>Streitwert-Hebel:</w:t>
      </w:r>
      <w:r>
        <w:t xml:space="preserve"> Ein eigenständiger Antrag auf Feststellung der Unwirksamkeit der Befristung des Senior-Advisor-Anteils erhöht den Streitwert und damit die Vergleichsmasse.</w:t>
      </w:r>
    </w:p>
    <w:p>
      <w:pPr>
        <w:pStyle w:val="ListNumber"/>
        <w:spacing w:line="259" w:lineRule="auto" w:after="60"/>
      </w:pPr>
      <w:r>
        <w:rPr>
          <w:b/>
        </w:rPr>
        <w:t>Signalwirkung für die Gegenseite:</w:t>
      </w:r>
      <w:r>
        <w:t xml:space="preserve"> Die Geltendmachung des TzBfG-Verstoßes zeigt, dass die Kanzlei alle Streitstränge im Blick hat.</w:t>
      </w:r>
    </w:p>
    <w:p>
      <w:pPr>
        <w:spacing w:line="259" w:lineRule="auto" w:after="60"/>
      </w:pPr>
    </w:p>
    <w:p>
      <w:pPr>
        <w:pStyle w:val="Heading2"/>
        <w:spacing w:line="259" w:lineRule="auto" w:after="60"/>
      </w:pPr>
      <w:r>
        <w:rPr>
          <w:rFonts w:ascii="Times New Roman" w:hAnsi="Times New Roman"/>
        </w:rPr>
        <w:t>3. Fristencheck § 17 TzBfG</w:t>
      </w:r>
    </w:p>
    <w:p>
      <w:pPr>
        <w:spacing w:line="259" w:lineRule="auto" w:after="60"/>
        <w:jc w:val="left"/>
      </w:pPr>
      <w:r>
        <w:t>§ 17 Satz 1 TzBfG: Die Klage muss innerhalb von drei Wochen nach dem vereinbarten Ende der Befristung erhoben werden.</w:t>
      </w:r>
    </w:p>
    <w:p>
      <w:pPr>
        <w:spacing w:line="259" w:lineRule="auto" w:after="60"/>
        <w:jc w:val="left"/>
      </w:pPr>
      <w:r>
        <w:t>Das Problem: Wenn die Befristung unwirksam ist (§ 16 Satz 1 TzBfG), gibt es kein „vereinbartes Ende" der letzten Verlängerung im Sinne von § 17 TzBfG — die Befristung ist ex nunc unwirksam. Das BAG hat klargestellt, dass § 17 TzBfG bei mündlicher Vereinbarung ohne schriftliche Fixierung erst mit dem tatsächlichen Vertragsende zu laufen beginnt (BAG 14.12.2016 – 7 AZR 797/14).</w:t>
      </w:r>
    </w:p>
    <w:p>
      <w:pPr>
        <w:spacing w:line="259" w:lineRule="auto" w:after="60"/>
        <w:jc w:val="left"/>
      </w:pPr>
      <w:r>
        <w:t>Da das Arbeitsverhältnis formal noch bis 31.12.2025 läuft und Körber noch beschäftigt ist, besteht kein akuter Fristdruck für eine separate TzBfG-Klage. Gleichwohl sollte der Antrag in die Hauptklage (KSchG) aufgenommen werden, um den Streitwert zu hebeln.</w:t>
      </w:r>
    </w:p>
    <w:p>
      <w:pPr>
        <w:spacing w:line="259" w:lineRule="auto" w:after="60"/>
      </w:pPr>
    </w:p>
    <w:p>
      <w:pPr>
        <w:pStyle w:val="Heading2"/>
        <w:spacing w:line="259" w:lineRule="auto" w:after="60"/>
      </w:pPr>
      <w:r>
        <w:rPr>
          <w:rFonts w:ascii="Times New Roman" w:hAnsi="Times New Roman"/>
        </w:rPr>
        <w:t>4. Empfehlung</w:t>
      </w:r>
    </w:p>
    <w:p>
      <w:pPr>
        <w:spacing w:line="259" w:lineRule="auto" w:after="60"/>
        <w:jc w:val="left"/>
      </w:pPr>
      <w:r>
        <w:t>Hilfsantrag in der Klageschrift: Feststellung, dass der Anteil als Senior Advisor Konzernprozesse (Ergänzungsvereinbarung 15.02.2023, zuletzt verlängert) nicht durch Befristung geendet hat, sondern auf unbestimmte Zeit besteht.</w:t>
      </w:r>
    </w:p>
    <w:p>
      <w:pPr>
        <w:spacing w:line="259" w:lineRule="auto" w:after="60"/>
        <w:jc w:val="left"/>
      </w:pPr>
      <w:r>
        <w:t>Dieser Antrag unterstreicht außerdem die wirtschaftliche Abhängigkeit und Eingliederung Körbers in den Konzern, die ein weiteres Argument gegen die Behauptung „keine anderweitige Beschäftigungsmöglichkeit" liefert.</w:t>
      </w:r>
    </w:p>
    <w:p>
      <w:pPr>
        <w:spacing w:line="259" w:lineRule="auto" w:after="60"/>
        <w:jc w:val="left"/>
      </w:pPr>
      <w:r>
        <w:rPr>
          <w:i/>
        </w:rPr>
        <w:t>RA Dr. Jonas Reuß, 05.06.2025</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Klotzkette Rechtsanwaltsgesellschaft mbH | Arbeitsrechtliche Mandatsakte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