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Entwurf Klageschrift — Kündigungsschutzklage</w:t>
      </w:r>
    </w:p>
    <w:p>
      <w:pPr>
        <w:spacing w:line="259" w:lineRule="auto" w:after="60"/>
        <w:jc w:val="left"/>
      </w:pPr>
      <w:r>
        <w:t>Stand: 07.06.2025. Noch nicht eingereicht. Einreichung geplant bis 09.06.2025 beim ArbG Frankfurt (Oder). Klagefrist: 12.06.2025 (§ 4 KSchG).</w:t>
      </w:r>
    </w:p>
    <w:p>
      <w:pPr>
        <w:spacing w:line="259" w:lineRule="auto" w:after="60"/>
      </w:pPr>
    </w:p>
    <w:p>
      <w:pPr>
        <w:spacing w:before="120" w:after="60" w:line="259" w:lineRule="auto"/>
        <w:jc w:val="left"/>
      </w:pPr>
      <w:r>
        <w:rPr>
          <w:rFonts w:ascii="Times New Roman" w:hAnsi="Times New Roman"/>
          <w:b/>
          <w:sz w:val="22"/>
        </w:rPr>
        <w:t>Klotzkette Rechtsanwaltsgesellschaft mbH</w:t>
      </w:r>
    </w:p>
    <w:p>
      <w:pPr>
        <w:spacing w:before="120" w:after="60" w:line="259" w:lineRule="auto"/>
        <w:jc w:val="left"/>
      </w:pPr>
      <w:r>
        <w:rPr>
          <w:rFonts w:ascii="Times New Roman" w:hAnsi="Times New Roman"/>
          <w:b/>
          <w:sz w:val="22"/>
        </w:rPr>
        <w:t>Potsdamer Straße 96</w:t>
      </w:r>
    </w:p>
    <w:p>
      <w:pPr>
        <w:spacing w:before="120" w:after="60" w:line="259" w:lineRule="auto"/>
        <w:jc w:val="left"/>
      </w:pPr>
      <w:r>
        <w:rPr>
          <w:rFonts w:ascii="Times New Roman" w:hAnsi="Times New Roman"/>
          <w:b/>
          <w:sz w:val="22"/>
        </w:rPr>
        <w:t>10785 Berlin</w:t>
      </w:r>
    </w:p>
    <w:p>
      <w:pPr>
        <w:spacing w:before="120" w:after="60" w:line="259" w:lineRule="auto"/>
        <w:jc w:val="left"/>
      </w:pPr>
      <w:r>
        <w:rPr>
          <w:rFonts w:ascii="Times New Roman" w:hAnsi="Times New Roman"/>
          <w:b/>
          <w:sz w:val="22"/>
        </w:rPr>
        <w:t>Tel.: 030 / 88 92 47 - 0</w:t>
      </w:r>
    </w:p>
    <w:p>
      <w:pPr>
        <w:spacing w:before="120" w:after="60" w:line="259" w:lineRule="auto"/>
        <w:jc w:val="left"/>
      </w:pPr>
      <w:r>
        <w:rPr>
          <w:rFonts w:ascii="Times New Roman" w:hAnsi="Times New Roman"/>
          <w:b/>
          <w:sz w:val="22"/>
        </w:rPr>
        <w:t>Fax: 030 / 88 92 47 - 99</w:t>
      </w:r>
    </w:p>
    <w:p>
      <w:pPr>
        <w:spacing w:line="259" w:lineRule="auto" w:after="60"/>
        <w:jc w:val="left"/>
      </w:pPr>
      <w:r>
        <w:t>An das</w:t>
      </w:r>
    </w:p>
    <w:p>
      <w:pPr>
        <w:spacing w:line="259" w:lineRule="auto" w:after="60"/>
        <w:jc w:val="left"/>
      </w:pPr>
      <w:r>
        <w:rPr>
          <w:b/>
        </w:rPr>
        <w:t>Arbeitsgericht Frankfurt (Oder)</w:t>
      </w:r>
    </w:p>
    <w:p>
      <w:pPr>
        <w:spacing w:line="259" w:lineRule="auto" w:after="60"/>
        <w:jc w:val="left"/>
      </w:pPr>
      <w:r>
        <w:t>Goepelstraße 4</w:t>
      </w:r>
    </w:p>
    <w:p>
      <w:pPr>
        <w:spacing w:line="259" w:lineRule="auto" w:after="60"/>
        <w:jc w:val="left"/>
      </w:pPr>
      <w:r>
        <w:t>15230 Frankfurt (Oder)</w:t>
      </w:r>
    </w:p>
    <w:p>
      <w:pPr>
        <w:spacing w:line="259" w:lineRule="auto" w:after="60"/>
        <w:jc w:val="left"/>
      </w:pPr>
      <w:r>
        <w:t>Berlin, den 09.06.2025</w:t>
      </w:r>
    </w:p>
    <w:p>
      <w:pPr>
        <w:spacing w:line="259" w:lineRule="auto" w:after="60"/>
      </w:pPr>
    </w:p>
    <w:p>
      <w:pPr>
        <w:pStyle w:val="Heading1"/>
        <w:spacing w:line="259" w:lineRule="auto" w:after="60"/>
      </w:pPr>
      <w:r>
        <w:rPr>
          <w:rFonts w:ascii="Times New Roman" w:hAnsi="Times New Roman"/>
        </w:rPr>
        <w:t>KLAGESCHRIFT</w:t>
      </w:r>
    </w:p>
    <w:p>
      <w:pPr>
        <w:spacing w:line="259" w:lineRule="auto" w:after="60"/>
        <w:jc w:val="left"/>
      </w:pPr>
      <w:r>
        <w:t>in dem Rechtsstreit</w:t>
      </w:r>
    </w:p>
    <w:p>
      <w:pPr>
        <w:spacing w:line="259" w:lineRule="auto" w:after="60"/>
        <w:jc w:val="left"/>
      </w:pPr>
      <w:r>
        <w:rPr>
          <w:b/>
        </w:rPr>
        <w:t>Dr. Annika Körber</w:t>
      </w:r>
      <w:r>
        <w:t>, Forstweg 14, 16225 Eberswalde,</w:t>
      </w:r>
    </w:p>
    <w:p>
      <w:pPr>
        <w:spacing w:line="259" w:lineRule="auto" w:after="60"/>
        <w:jc w:val="left"/>
      </w:pPr>
      <w:r>
        <w:t>— Klägerin —</w:t>
      </w:r>
    </w:p>
    <w:p>
      <w:pPr>
        <w:spacing w:line="259" w:lineRule="auto" w:after="60"/>
        <w:jc w:val="left"/>
      </w:pPr>
      <w:r>
        <w:t>Prozessbevollmächtigte: RA Dr. Jonas Reuß, Klotzkette Rechtsanwaltsgesellschaft mbH, Potsdamer Straße 96, 10785 Berlin</w:t>
      </w:r>
    </w:p>
    <w:p>
      <w:pPr>
        <w:spacing w:line="259" w:lineRule="auto" w:after="60"/>
        <w:jc w:val="left"/>
      </w:pPr>
      <w:r>
        <w:t>gegen</w:t>
      </w:r>
    </w:p>
    <w:p>
      <w:pPr>
        <w:spacing w:line="259" w:lineRule="auto" w:after="60"/>
        <w:jc w:val="left"/>
      </w:pPr>
      <w:r>
        <w:rPr>
          <w:b/>
        </w:rPr>
        <w:t>Steinhoff Präzisionsguss SE</w:t>
      </w:r>
      <w:r>
        <w:t>, Am Industriepark 1, 16225 Eberswalde, vertreten durch den Vorstandsvorsitzenden Maximilian Steinhoff-Pertz,</w:t>
      </w:r>
    </w:p>
    <w:p>
      <w:pPr>
        <w:spacing w:line="259" w:lineRule="auto" w:after="60"/>
        <w:jc w:val="left"/>
      </w:pPr>
      <w:r>
        <w:t>— Beklagte —</w:t>
      </w:r>
    </w:p>
    <w:p>
      <w:pPr>
        <w:spacing w:line="259" w:lineRule="auto" w:after="60"/>
        <w:jc w:val="left"/>
      </w:pPr>
      <w:r>
        <w:t xml:space="preserve">wegen: </w:t>
      </w:r>
      <w:r>
        <w:rPr>
          <w:b/>
        </w:rPr>
        <w:t>Kündigungsschutz, Weiterbeschäftigung, Urlaubsabgeltung, Entfristung</w:t>
      </w:r>
    </w:p>
    <w:p>
      <w:pPr>
        <w:spacing w:line="259" w:lineRule="auto" w:after="60"/>
      </w:pPr>
    </w:p>
    <w:p>
      <w:pPr>
        <w:pStyle w:val="Heading2"/>
        <w:spacing w:line="259" w:lineRule="auto" w:after="60"/>
      </w:pPr>
      <w:r>
        <w:rPr>
          <w:rFonts w:ascii="Times New Roman" w:hAnsi="Times New Roman"/>
        </w:rPr>
        <w:t>I. Anträge</w:t>
      </w:r>
    </w:p>
    <w:p>
      <w:pPr>
        <w:spacing w:line="259" w:lineRule="auto" w:after="60"/>
        <w:jc w:val="left"/>
      </w:pPr>
      <w:r>
        <w:t>Die Klägerin beantragt:</w:t>
      </w:r>
    </w:p>
    <w:p>
      <w:pPr>
        <w:spacing w:line="259" w:lineRule="auto" w:after="60"/>
        <w:jc w:val="left"/>
      </w:pPr>
      <w:r>
        <w:rPr>
          <w:b/>
        </w:rPr>
        <w:t>1. (Hauptantrag – Kündigungsschutz)</w:t>
      </w:r>
    </w:p>
    <w:p>
      <w:pPr>
        <w:spacing w:line="259" w:lineRule="auto" w:after="60"/>
        <w:jc w:val="left"/>
      </w:pPr>
      <w:r>
        <w:t>Es wird festgestellt, dass das Arbeitsverhältnis der Klägerin mit der Beklagten durch die ordentliche Kündigung der Beklagten vom 22.05.2025 nicht aufgelöst worden ist, sondern über den 31.12.2025 hinaus fortbesteht.</w:t>
      </w:r>
    </w:p>
    <w:p>
      <w:pPr>
        <w:spacing w:line="259" w:lineRule="auto" w:after="60"/>
        <w:jc w:val="left"/>
      </w:pPr>
      <w:r>
        <w:rPr>
          <w:b/>
        </w:rPr>
        <w:t>2. (Weiterbeschäftigung)</w:t>
      </w:r>
    </w:p>
    <w:p>
      <w:pPr>
        <w:spacing w:line="259" w:lineRule="auto" w:after="60"/>
        <w:jc w:val="left"/>
      </w:pPr>
      <w:r>
        <w:t>Die Beklagte wird verurteilt, die Klägerin über den 31.12.2025 hinaus bis zur rechtskräftigen Entscheidung über den Feststellungsantrag zu unveränderten Bedingungen als Werkleiterin Werk Eberswalde (alternativ: in einer vergleichbaren AT-Führungsposition) tatsächlich weiterzubeschäftigen.</w:t>
      </w:r>
    </w:p>
    <w:p>
      <w:pPr>
        <w:spacing w:line="259" w:lineRule="auto" w:after="60"/>
        <w:jc w:val="left"/>
      </w:pPr>
      <w:r>
        <w:rPr>
          <w:b/>
        </w:rPr>
        <w:t>3. (Hilfsantrag – Massenentlassungsfehler)</w:t>
      </w:r>
    </w:p>
    <w:p>
      <w:pPr>
        <w:spacing w:line="259" w:lineRule="auto" w:after="60"/>
        <w:jc w:val="left"/>
      </w:pPr>
      <w:r>
        <w:t>Hilfsweise zu Antrag 1: Es wird festgestellt, dass das Arbeitsverhältnis der Klägerin durch die Kündigung vom 22.05.2025 nicht aufgelöst worden ist, weil die Massenentlassungsanzeige nach § 17 KSchG nicht oder nicht ordnungsgemäß vor Ausspruch der Kündigung erstattet worden ist.</w:t>
      </w:r>
    </w:p>
    <w:p>
      <w:pPr>
        <w:spacing w:line="259" w:lineRule="auto" w:after="60"/>
        <w:jc w:val="left"/>
      </w:pPr>
      <w:r>
        <w:rPr>
          <w:b/>
        </w:rPr>
        <w:t>4. (Hilfsantrag – Betriebsratsanhörung)</w:t>
      </w:r>
    </w:p>
    <w:p>
      <w:pPr>
        <w:spacing w:line="259" w:lineRule="auto" w:after="60"/>
        <w:jc w:val="left"/>
      </w:pPr>
      <w:r>
        <w:t>Hilfsweise zu Antrag 1: Es wird festgestellt, dass die Kündigung vom 22.05.2025 unwirksam ist, weil die Anhörung des Betriebsrats nach § 102 Abs. 1 BetrVG nicht ordnungsgemäß durchgeführt worden ist.</w:t>
      </w:r>
    </w:p>
    <w:p>
      <w:pPr>
        <w:spacing w:line="259" w:lineRule="auto" w:after="60"/>
        <w:jc w:val="left"/>
      </w:pPr>
      <w:r>
        <w:rPr>
          <w:b/>
        </w:rPr>
        <w:t>5. (Urlaubsabgeltung)</w:t>
      </w:r>
    </w:p>
    <w:p>
      <w:pPr>
        <w:spacing w:line="259" w:lineRule="auto" w:after="60"/>
        <w:jc w:val="left"/>
      </w:pPr>
      <w:r>
        <w:t xml:space="preserve">Die Beklagte wird verurteilt, an die Klägerin einen Betrag von </w:t>
      </w:r>
      <w:r>
        <w:rPr>
          <w:b/>
        </w:rPr>
        <w:t>20.368 EUR brutto</w:t>
      </w:r>
      <w:r>
        <w:t xml:space="preserve"> nebst Zinsen in Höhe von 5 Prozentpunkten über dem jeweiligen Basiszinssatz seit dem 01.01.2026 zu zahlen.</w:t>
      </w:r>
    </w:p>
    <w:p>
      <w:pPr>
        <w:spacing w:line="259" w:lineRule="auto" w:after="60"/>
        <w:jc w:val="left"/>
      </w:pPr>
      <w:r>
        <w:rPr>
          <w:b/>
        </w:rPr>
        <w:t>6. (Entfristung Senior Advisor – Hilfsantrag)</w:t>
      </w:r>
    </w:p>
    <w:p>
      <w:pPr>
        <w:spacing w:line="259" w:lineRule="auto" w:after="60"/>
        <w:jc w:val="left"/>
      </w:pPr>
      <w:r>
        <w:t>Es wird festgestellt, dass die Befristung des Zusatzanteils der Klägerin als Senior Advisor Konzernprozesse gemäß Ergänzungsvereinbarung vom 15.02.2023 und deren Verlängerungen unwirksam ist und dieser Vertragsanteil auf unbestimmte Zeit fortbesteht.</w:t>
      </w:r>
    </w:p>
    <w:p>
      <w:pPr>
        <w:spacing w:line="259" w:lineRule="auto" w:after="60"/>
        <w:jc w:val="left"/>
      </w:pPr>
      <w:r>
        <w:rPr>
          <w:b/>
        </w:rPr>
        <w:t>7. (Kostentragung)</w:t>
      </w:r>
    </w:p>
    <w:p>
      <w:pPr>
        <w:spacing w:line="259" w:lineRule="auto" w:after="60"/>
        <w:jc w:val="left"/>
      </w:pPr>
      <w:r>
        <w:t>Die Beklagte trägt die Kosten des Rechtsstreits.</w:t>
      </w:r>
    </w:p>
    <w:p>
      <w:pPr>
        <w:spacing w:line="259" w:lineRule="auto" w:after="60"/>
      </w:pPr>
    </w:p>
    <w:p>
      <w:pPr>
        <w:pStyle w:val="Heading2"/>
        <w:spacing w:line="259" w:lineRule="auto" w:after="60"/>
      </w:pPr>
      <w:r>
        <w:rPr>
          <w:rFonts w:ascii="Times New Roman" w:hAnsi="Times New Roman"/>
        </w:rPr>
        <w:t>II. Streitwert</w:t>
      </w:r>
    </w:p>
    <w:p>
      <w:pPr>
        <w:spacing w:line="259" w:lineRule="auto" w:after="60"/>
        <w:jc w:val="left"/>
      </w:pPr>
      <w:r>
        <w:t xml:space="preserve">Vorl. Streitwert: 3 × monatliches Bruttojahreseinkommen (§ 42 Abs. 2 GKG) = 3 × 12.617 EUR = 37.850 EUR (Hauptantrag) zzgl. Urlaubsabgeltung 20.368 EUR zzgl. Senior Advisor 12.600 EUR (1 Jahresanteil) = vorläufig </w:t>
      </w:r>
      <w:r>
        <w:rPr>
          <w:b/>
        </w:rPr>
        <w:t>70.818 EUR</w:t>
      </w:r>
      <w:r>
        <w:t>.</w:t>
      </w:r>
    </w:p>
    <w:p>
      <w:pPr>
        <w:spacing w:line="259" w:lineRule="auto" w:after="60"/>
      </w:pPr>
    </w:p>
    <w:p>
      <w:pPr>
        <w:pStyle w:val="Heading2"/>
        <w:spacing w:line="259" w:lineRule="auto" w:after="60"/>
      </w:pPr>
      <w:r>
        <w:rPr>
          <w:rFonts w:ascii="Times New Roman" w:hAnsi="Times New Roman"/>
        </w:rPr>
        <w:t>III. Sachverhalt</w:t>
      </w:r>
    </w:p>
    <w:p>
      <w:pPr>
        <w:pStyle w:val="Heading3"/>
        <w:spacing w:line="259" w:lineRule="auto" w:after="60"/>
      </w:pPr>
      <w:r>
        <w:rPr>
          <w:rFonts w:ascii="Times New Roman" w:hAnsi="Times New Roman"/>
        </w:rPr>
        <w:t>1. Das Arbeitsverhältnis</w:t>
      </w:r>
    </w:p>
    <w:p>
      <w:pPr>
        <w:spacing w:line="259" w:lineRule="auto" w:after="60"/>
        <w:jc w:val="left"/>
      </w:pPr>
      <w:r>
        <w:t>Die Klägerin ist seit dem 01.03.2012 bei der Beklagten beschäftigt. Zuletzt war sie seit dem 01.09.2021 als Werkleiterin des Werks Eberswalde tätig, einer AT-Führungsposition mit direkter Berichtslinie zum Vorstandsvorsitzenden. Das monatliche Bruttofixgehalt betrug 11.167 EUR; hinzu traten eine Tantieme (bis zu 18.000 EUR p.a.), Dienstwagen und betriebliche Altersversorgung. Der Betrieb Eberswalde beschäftigte zuletzt 312 Mitarbeiter.</w:t>
      </w:r>
    </w:p>
    <w:p>
      <w:pPr>
        <w:spacing w:line="259" w:lineRule="auto" w:after="60"/>
        <w:jc w:val="left"/>
      </w:pPr>
      <w:r>
        <w:t>Beweis: Arbeitsvertrag vom 28.02.2012 mit Nachträgen (Anlage K 1)</w:t>
      </w:r>
    </w:p>
    <w:p>
      <w:pPr>
        <w:pStyle w:val="Heading3"/>
        <w:spacing w:line="259" w:lineRule="auto" w:after="60"/>
      </w:pPr>
      <w:r>
        <w:rPr>
          <w:rFonts w:ascii="Times New Roman" w:hAnsi="Times New Roman"/>
        </w:rPr>
        <w:t>2. Der anonyme Hinweis und die Folgen</w:t>
      </w:r>
    </w:p>
    <w:p>
      <w:pPr>
        <w:spacing w:line="259" w:lineRule="auto" w:after="60"/>
        <w:jc w:val="left"/>
      </w:pPr>
      <w:r>
        <w:t>Am 12.05.2024 meldete die Klägerin über den internen EthicsHub-Hinweisgeberkanal der Beklagten den begründeten Verdacht überhöhter Verrechnungspreise zwischen der Beklagten und der Steinhoff Rohstoffhandel GmbH &amp; Co. KG. Die Meldung erfolgte anonym. Gleichwohl wurde die Klägerin intern reidentifiziert. Der Justiziar der Beklagten, Dr. Lars Kemnitz, suchte die Klägerin in der Folge dreimal zu Vier-Augen-Gesprächen auf, in denen er ihr sinngemäß mitteilte, sie solle die Thematik nicht „nach außen tragen". Das dritte Gespräch fand während der laufenden Arbeitsunfähigkeit der Klägerin per Privattelefon statt.</w:t>
      </w:r>
    </w:p>
    <w:p>
      <w:pPr>
        <w:spacing w:line="259" w:lineRule="auto" w:after="60"/>
        <w:jc w:val="left"/>
      </w:pPr>
      <w:r>
        <w:t>Beweis: Gesprächsnotizen der Klägerin (Anlage K 2); Zeuge Therapeutin Dr. med. Corinna Jäkel, Eberswalde (zum Bericht der Klägerin über die Gespräche)</w:t>
      </w:r>
    </w:p>
    <w:p>
      <w:pPr>
        <w:spacing w:line="259" w:lineRule="auto" w:after="60"/>
        <w:jc w:val="left"/>
      </w:pPr>
      <w:r>
        <w:t>Die zeitliche Koinzidenz von Meldung (12.05.2024), Beginn der Kemnitz-Gespräche (20.06.2024) und Ausbruch der ersten Erkrankungsphase (25.06.2024) begründet die Vermutung nach § 36 Abs. 2 HinSchG, dass die Maßnahmen eine Repressalie im Sinne des Hinweisgeberschutzgesetzes darstellen.</w:t>
      </w:r>
    </w:p>
    <w:p>
      <w:pPr>
        <w:pStyle w:val="Heading3"/>
        <w:spacing w:line="259" w:lineRule="auto" w:after="60"/>
      </w:pPr>
      <w:r>
        <w:rPr>
          <w:rFonts w:ascii="Times New Roman" w:hAnsi="Times New Roman"/>
        </w:rPr>
        <w:t>3. Fehlzeiten und fehlendes BEM</w:t>
      </w:r>
    </w:p>
    <w:p>
      <w:pPr>
        <w:spacing w:line="259" w:lineRule="auto" w:after="60"/>
        <w:jc w:val="left"/>
      </w:pPr>
      <w:r>
        <w:t>Zwischen dem 25.06.2024 und dem Ende der fünften AU-Phase am 02.04.2025 war die Klägerin an insgesamt 84 Arbeitstagen (auf fünf AU-Episoden verteilt) arbeitsunfähig. Am 29.07.2024 erbat die Klägerin ausdrücklich die Durchführung eines Betrieblichen Eingliederungsmanagements nach § 167 Abs. 2 SGB IX. Die Beklagte antwortete am 05.08.2024, man werde „die Situation beobachten." Ein BEM-Verfahren wurde nicht eingeleitet; der Betriebsrat wurde zu keinem Zeitpunkt beteiligt.</w:t>
      </w:r>
    </w:p>
    <w:p>
      <w:pPr>
        <w:spacing w:line="259" w:lineRule="auto" w:after="60"/>
        <w:jc w:val="left"/>
      </w:pPr>
      <w:r>
        <w:t>Beweis: E-Mail der Klägerin vom 29.07.2024 (Anlage K 3); E-Mail Branitz vom 05.08.2024 (Anlage K 4)</w:t>
      </w:r>
    </w:p>
    <w:p>
      <w:pPr>
        <w:pStyle w:val="Heading3"/>
        <w:spacing w:line="259" w:lineRule="auto" w:after="60"/>
      </w:pPr>
      <w:r>
        <w:rPr>
          <w:rFonts w:ascii="Times New Roman" w:hAnsi="Times New Roman"/>
        </w:rPr>
        <w:t>4. Aufhebungsvertragsdruck und Kündigung</w:t>
      </w:r>
    </w:p>
    <w:p>
      <w:pPr>
        <w:spacing w:line="259" w:lineRule="auto" w:after="60"/>
        <w:jc w:val="left"/>
      </w:pPr>
      <w:r>
        <w:t>Mit Verkündung der Standortschließung (28.04.2025) überreichte die Beklagte der Klägerin einen Aufhebungsvertragsentwurf mit einer Annahmefrist bis 15.05.2025. Der Entwurf enthielt eine Eigenkündigungs-Konstruktion (Sperrzeit bei ALG I), eine unwirksame Urlaubsanrechnungsklausel, eine umfassende Erledigungsklausel ohne Ausnahme für HinSchG-Ansprüche und einen Klageverzicht. HR-Leiter Branitz verschickte zwischen dem 28.04. und dem 14.05.2025 sechs E-Mails, in denen er zunehmend offensichtlichen Druck ausübte und zuletzt eine Kündigung wegen der Krankheitshistorie ankündigte.</w:t>
      </w:r>
    </w:p>
    <w:p>
      <w:pPr>
        <w:spacing w:line="259" w:lineRule="auto" w:after="60"/>
        <w:jc w:val="left"/>
      </w:pPr>
      <w:r>
        <w:t>Die Klägerin lehnte den Aufhebungsvertrag am 15.05.2025 ab. Am 22.05.2025 wurde die Kündigung ausgesprochen.</w:t>
      </w:r>
    </w:p>
    <w:p>
      <w:pPr>
        <w:spacing w:line="259" w:lineRule="auto" w:after="60"/>
        <w:jc w:val="left"/>
      </w:pPr>
      <w:r>
        <w:t>Beweis: E-Mail-Korrespondenz Branitz (Anlage K 5); Aufhebungsvertragsentwurf (Anlage K 6)</w:t>
      </w:r>
    </w:p>
    <w:p>
      <w:pPr>
        <w:pStyle w:val="Heading3"/>
        <w:spacing w:line="259" w:lineRule="auto" w:after="60"/>
      </w:pPr>
      <w:r>
        <w:rPr>
          <w:rFonts w:ascii="Times New Roman" w:hAnsi="Times New Roman"/>
        </w:rPr>
        <w:t>5. Betriebsratsanhörung</w:t>
      </w:r>
    </w:p>
    <w:p>
      <w:pPr>
        <w:spacing w:line="259" w:lineRule="auto" w:after="60"/>
        <w:jc w:val="left"/>
      </w:pPr>
      <w:r>
        <w:t>Die Betriebsratsanhörung erfolgte am 19.05.2025 mit Frist bis 22.05.2025 (3 Arbeitstage; reguläre Anhörungsfrist ist die Wochenfrist). Der Betriebsrat fasste am 20.05.2025 einen Widerspruchsbeschluss (9 von 10 anwesenden Mitgliedern). Ein Mitglied war krankheitsbedingt abwesend; ein Ersatzmitglied wurde nicht geladen. Selbst wenn man die Nichtladung als formellen Mangel sieht: Das Beschlussergebnis wäre bei Anwesenheit des Ersatzmitglieds nicht anders ausgefallen.</w:t>
      </w:r>
    </w:p>
    <w:p>
      <w:pPr>
        <w:spacing w:line="259" w:lineRule="auto" w:after="60"/>
        <w:jc w:val="left"/>
      </w:pPr>
      <w:r>
        <w:t>Der Widerspruch wurde am 22.05.2025 schriftlich erteilt.</w:t>
      </w:r>
    </w:p>
    <w:p>
      <w:pPr>
        <w:spacing w:line="259" w:lineRule="auto" w:after="60"/>
        <w:jc w:val="left"/>
      </w:pPr>
      <w:r>
        <w:t>Beweis: Anhörungsschreiben (Anlage K 7); BR-Sitzungsprotokoll (Anlage K 8); BR-Widerspruch (Anlage K 9)</w:t>
      </w:r>
    </w:p>
    <w:p>
      <w:pPr>
        <w:spacing w:line="259" w:lineRule="auto" w:after="60"/>
      </w:pPr>
    </w:p>
    <w:p>
      <w:pPr>
        <w:pStyle w:val="Heading2"/>
        <w:spacing w:line="259" w:lineRule="auto" w:after="60"/>
      </w:pPr>
      <w:r>
        <w:rPr>
          <w:rFonts w:ascii="Times New Roman" w:hAnsi="Times New Roman"/>
        </w:rPr>
        <w:t>IV. Rechtliche Würdigung</w:t>
      </w:r>
    </w:p>
    <w:p>
      <w:pPr>
        <w:pStyle w:val="Heading3"/>
        <w:spacing w:line="259" w:lineRule="auto" w:after="60"/>
      </w:pPr>
      <w:r>
        <w:rPr>
          <w:rFonts w:ascii="Times New Roman" w:hAnsi="Times New Roman"/>
        </w:rPr>
        <w:t>1. Zulässigkeit und Frist</w:t>
      </w:r>
    </w:p>
    <w:p>
      <w:pPr>
        <w:spacing w:line="259" w:lineRule="auto" w:after="60"/>
        <w:jc w:val="left"/>
      </w:pPr>
      <w:r>
        <w:t>Das Arbeitsgericht Frankfurt (Oder) ist sachlich und örtlich zuständig (§§ 2 Abs. 1 Nr. 3a, 8 ArbGG). Die Klagefrist nach § 4 Satz 1 KSchG beträgt drei Wochen ab Zugang der Kündigung (22.05.2025). Fristablauf: 12.06.2025. Die Klage wird am 09.06.2025 eingereicht.</w:t>
      </w:r>
    </w:p>
    <w:p>
      <w:pPr>
        <w:pStyle w:val="Heading3"/>
        <w:spacing w:line="259" w:lineRule="auto" w:after="60"/>
      </w:pPr>
      <w:r>
        <w:rPr>
          <w:rFonts w:ascii="Times New Roman" w:hAnsi="Times New Roman"/>
        </w:rPr>
        <w:t>2. Unwirksamkeit der personenbedingten Kündigung</w:t>
      </w:r>
    </w:p>
    <w:p>
      <w:pPr>
        <w:pStyle w:val="Heading3"/>
        <w:spacing w:line="259" w:lineRule="auto" w:after="60"/>
      </w:pPr>
      <w:r>
        <w:rPr>
          <w:rFonts w:ascii="Times New Roman" w:hAnsi="Times New Roman"/>
        </w:rPr>
        <w:t>2.1 Keine negative Gesundheitsprognose</w:t>
      </w:r>
    </w:p>
    <w:p>
      <w:pPr>
        <w:spacing w:line="259" w:lineRule="auto" w:after="60"/>
        <w:jc w:val="left"/>
      </w:pPr>
      <w:r>
        <w:t>Eine krankheitsbedingte Kündigung setzt nach st. Rspr. des BAG erstens eine negative Prognose über die zukünftige Gesundheitsentwicklung, zweitens eine erhebliche betriebliche Beeinträchtigung und drittens eine Interessenabwägung voraus (vgl. BAG 13.05.2015 – 2 AZR 565/14). Die behandelnde Ärztin der Klägerin (Dr. med. Corinna Jäkel) geht nach aktueller Einschätzung von einer stabilen Verbesserung aus. Die Fehlzeiten haben in den Phasen nach Entfernung der Stressoren (Kemnitz-Gespräche, Druckkampagne Branitz) deutlich abgenommen.</w:t>
      </w:r>
    </w:p>
    <w:p>
      <w:pPr>
        <w:pStyle w:val="Heading3"/>
        <w:spacing w:line="259" w:lineRule="auto" w:after="60"/>
      </w:pPr>
      <w:r>
        <w:rPr>
          <w:rFonts w:ascii="Times New Roman" w:hAnsi="Times New Roman"/>
        </w:rPr>
        <w:t>2.2 Fehlendes BEM als erhöhte Darlegungslast</w:t>
      </w:r>
    </w:p>
    <w:p>
      <w:pPr>
        <w:spacing w:line="259" w:lineRule="auto" w:after="60"/>
        <w:jc w:val="left"/>
      </w:pPr>
      <w:r>
        <w:t>Die Beklagte hat kein BEM-Verfahren durchgeführt, obwohl die gesetzlichen Voraussetzungen nach § 167 Abs. 2 SGB IX bereits nach dem ersten AU-Block (25.06.–07.08.2024) vorlagen. Die Klägerin hat ausdrücklich um ein BEM ersucht (29.07.2024). Die Beklagte ist daher verpflichtet, konkret darzulegen, dass ein BEM-Verfahren keine geeigneten Maßnahmen zur Überwindung der Arbeitsunfähigkeit oder zur Prävention weiterer Fehlzeiten hätte ergeben können (BAG 20.11.2014 – 2 AZR 755/13). Diese Darlegung ist der Beklagten nicht möglich: Es bestanden Möglichkeiten für einen Aufgabenwechsel, eine vorübergehende Umverteilung von Aufgaben und eine psychosoziale Begleitung.</w:t>
      </w:r>
    </w:p>
    <w:p>
      <w:pPr>
        <w:pStyle w:val="Heading3"/>
        <w:spacing w:line="259" w:lineRule="auto" w:after="60"/>
      </w:pPr>
      <w:r>
        <w:rPr>
          <w:rFonts w:ascii="Times New Roman" w:hAnsi="Times New Roman"/>
        </w:rPr>
        <w:t>2.3 Repressalie nach § 36 HinSchG / § 612a BGB</w:t>
      </w:r>
    </w:p>
    <w:p>
      <w:pPr>
        <w:spacing w:line="259" w:lineRule="auto" w:after="60"/>
        <w:jc w:val="left"/>
      </w:pPr>
      <w:r>
        <w:t>Die zeitliche Abfolge von HinSchG-Meldung (12.05.2024), Repressalie-Gesprächen (Juni/Juli 2024), Erkrankungsausbruch (25.06.2024) und schließlich der Kündigung (22.05.2025) begründet die gesetzliche Vermutung nach § 36 Abs. 2 HinSchG. Die Beklagte muss darlegen und beweisen, dass die Kündigung nicht auf der HinSchG-Meldung beruht. Dies ist ihr — angesichts der dokumentierten Kemnitz-Gespräche, der Branitz-E-Mails und des Druckaufbaus im Zusammenhang mit dem Aufhebungsvertrag — nicht möglich.</w:t>
      </w:r>
    </w:p>
    <w:p>
      <w:pPr>
        <w:pStyle w:val="Heading3"/>
        <w:spacing w:line="259" w:lineRule="auto" w:after="60"/>
      </w:pPr>
      <w:r>
        <w:rPr>
          <w:rFonts w:ascii="Times New Roman" w:hAnsi="Times New Roman"/>
        </w:rPr>
        <w:t>3. Unwirksamkeit der hilfsweisen betriebsbedingten Kündigung</w:t>
      </w:r>
    </w:p>
    <w:p>
      <w:pPr>
        <w:pStyle w:val="Heading3"/>
        <w:spacing w:line="259" w:lineRule="auto" w:after="60"/>
      </w:pPr>
      <w:r>
        <w:rPr>
          <w:rFonts w:ascii="Times New Roman" w:hAnsi="Times New Roman"/>
        </w:rPr>
        <w:t>3.1 Massenentlassungsanzeige</w:t>
      </w:r>
    </w:p>
    <w:p>
      <w:pPr>
        <w:spacing w:line="259" w:lineRule="auto" w:after="60"/>
        <w:jc w:val="left"/>
      </w:pPr>
      <w:r>
        <w:t>Die Beklagte beabsichtigt, alle 312 Mitarbeiter des Werks Eberswalde zu entlassen. Die Massenentlassungsanzeige nach § 17 Abs. 1 KSchG ist Wirksamkeitsvoraussetzung für alle ausgesprochenen Kündigungen. Nach Kenntnis der Klägerin war die Anzeige bei Ausspruch der Kündigung am 22.05.2025 noch nicht erstattet. Eine vor Erstattung der Anzeige ausgesprochene Kündigung ist unwirksam (BAG 22.09.2016 – 2 AZR 276/16).</w:t>
      </w:r>
    </w:p>
    <w:p>
      <w:pPr>
        <w:pStyle w:val="Heading3"/>
        <w:spacing w:line="259" w:lineRule="auto" w:after="60"/>
      </w:pPr>
      <w:r>
        <w:rPr>
          <w:rFonts w:ascii="Times New Roman" w:hAnsi="Times New Roman"/>
        </w:rPr>
        <w:t>3.2 Fehlerhafte Sozialauswahl</w:t>
      </w:r>
    </w:p>
    <w:p>
      <w:pPr>
        <w:spacing w:line="259" w:lineRule="auto" w:after="60"/>
        <w:jc w:val="left"/>
      </w:pPr>
      <w:r>
        <w:t>Die Beklagte hat keine Sozialauswahl durchgeführt, die konzernweite AT-Positionen einbezieht. Die Funktion der Klägerin als Leiterin Werksinfrastruktur &amp; Prozesse (Nachtrag I, 2018) hat sie über drei Jahre konzernweit ausgeübt. Diese Position ist mit einer AT-Führungsfunktion am Standort Salzgitter oder Bautzen vergleichbar.</w:t>
      </w:r>
    </w:p>
    <w:p>
      <w:pPr>
        <w:pStyle w:val="Heading3"/>
        <w:spacing w:line="259" w:lineRule="auto" w:after="60"/>
      </w:pPr>
      <w:r>
        <w:rPr>
          <w:rFonts w:ascii="Times New Roman" w:hAnsi="Times New Roman"/>
        </w:rPr>
        <w:t>4. Urlaubsabgeltungsanspruch</w:t>
      </w:r>
    </w:p>
    <w:p>
      <w:pPr>
        <w:spacing w:line="259" w:lineRule="auto" w:after="60"/>
        <w:jc w:val="left"/>
      </w:pPr>
      <w:r>
        <w:t>38 offene Urlaubstage × 536 EUR (Tagesgehalt 134.000 EUR / 250 AT) = 20.368 EUR brutto. Die Freistellungserklärung der Beklagten (E-Mail Branitz 23.05.2025) erfüllt nicht die Voraussetzungen einer wirksamen unwiderruflichen Freistellung mit konkreter Urlaubsanrechnung. Der Urlaub ist nicht verfallen; die Beklagte hat die Klägerin nicht auf drohenden Urlaubsverfall hingewiesen und sie nicht konkret zur Inanspruchnahme aufgefordert.</w:t>
      </w:r>
    </w:p>
    <w:p>
      <w:pPr>
        <w:pStyle w:val="Heading3"/>
        <w:spacing w:line="259" w:lineRule="auto" w:after="60"/>
      </w:pPr>
      <w:r>
        <w:rPr>
          <w:rFonts w:ascii="Times New Roman" w:hAnsi="Times New Roman"/>
        </w:rPr>
        <w:t>5. Entfristung Senior Advisor</w:t>
      </w:r>
    </w:p>
    <w:p>
      <w:pPr>
        <w:spacing w:line="259" w:lineRule="auto" w:after="60"/>
        <w:jc w:val="left"/>
      </w:pPr>
      <w:r>
        <w:t>Die sachgrundlose Befristung des Senior-Advisor-Anteils (§ 14 Abs. 2 TzBfG) überschreitet mit den Verlängerungen III und IV (ab September 2024) die gesetzliche Höchstdauer von 24 Monaten. Die mündlichen Verlängerungen verstoßen zudem gegen § 14 Abs. 4 TzBfG. Der Senior-Advisor-Anteil gilt als auf unbestimmte Zeit vereinbart (§ 16 Satz 1 TzBfG).</w:t>
      </w:r>
    </w:p>
    <w:p>
      <w:pPr>
        <w:spacing w:line="259" w:lineRule="auto" w:after="60"/>
      </w:pPr>
    </w:p>
    <w:p>
      <w:pPr>
        <w:pStyle w:val="Heading2"/>
        <w:spacing w:line="259" w:lineRule="auto" w:after="60"/>
      </w:pPr>
      <w:r>
        <w:rPr>
          <w:rFonts w:ascii="Times New Roman" w:hAnsi="Times New Roman"/>
        </w:rPr>
        <w:t>V. Beweisangebote</w:t>
      </w:r>
    </w:p>
    <w:p>
      <w:pPr>
        <w:pStyle w:val="ListBullet"/>
        <w:spacing w:line="259" w:lineRule="auto" w:after="60"/>
      </w:pPr>
      <w:r>
        <w:t>Anlage K 1: Arbeitsvertrag mit Nachträgen I und II</w:t>
      </w:r>
    </w:p>
    <w:p>
      <w:pPr>
        <w:pStyle w:val="ListBullet"/>
        <w:spacing w:line="259" w:lineRule="auto" w:after="60"/>
      </w:pPr>
      <w:r>
        <w:t>Anlage K 2: Gesprächsnotizen Körber zu Kemnitz-Gesprächen</w:t>
      </w:r>
    </w:p>
    <w:p>
      <w:pPr>
        <w:pStyle w:val="ListBullet"/>
        <w:spacing w:line="259" w:lineRule="auto" w:after="60"/>
      </w:pPr>
      <w:r>
        <w:t>Anlage K 3: E-Mail Körber an Branitz 29.07.2024 (BEM-Anfrage)</w:t>
      </w:r>
    </w:p>
    <w:p>
      <w:pPr>
        <w:pStyle w:val="ListBullet"/>
        <w:spacing w:line="259" w:lineRule="auto" w:after="60"/>
      </w:pPr>
      <w:r>
        <w:t>Anlage K 4: E-Mail Branitz an Körber 05.08.2024</w:t>
      </w:r>
    </w:p>
    <w:p>
      <w:pPr>
        <w:pStyle w:val="ListBullet"/>
        <w:spacing w:line="259" w:lineRule="auto" w:after="60"/>
      </w:pPr>
      <w:r>
        <w:t>Anlage K 5: E-Mail-Korrespondenz Branitz 28.04.–23.05.2025 (sechs E-Mails)</w:t>
      </w:r>
    </w:p>
    <w:p>
      <w:pPr>
        <w:pStyle w:val="ListBullet"/>
        <w:spacing w:line="259" w:lineRule="auto" w:after="60"/>
      </w:pPr>
      <w:r>
        <w:t>Anlage K 6: Aufhebungsvertragsentwurf Steinhoff SE (undatiert, übergeben 28.04.2025)</w:t>
      </w:r>
    </w:p>
    <w:p>
      <w:pPr>
        <w:pStyle w:val="ListBullet"/>
        <w:spacing w:line="259" w:lineRule="auto" w:after="60"/>
      </w:pPr>
      <w:r>
        <w:t>Anlage K 7: Anhörungsschreiben GF an BR 19.05.2025</w:t>
      </w:r>
    </w:p>
    <w:p>
      <w:pPr>
        <w:pStyle w:val="ListBullet"/>
        <w:spacing w:line="259" w:lineRule="auto" w:after="60"/>
      </w:pPr>
      <w:r>
        <w:t>Anlage K 8: BR-Sitzungsprotokoll 20.05.2025</w:t>
      </w:r>
    </w:p>
    <w:p>
      <w:pPr>
        <w:pStyle w:val="ListBullet"/>
        <w:spacing w:line="259" w:lineRule="auto" w:after="60"/>
      </w:pPr>
      <w:r>
        <w:t>Anlage K 9: BR-Widerspruchsschreiben 22.05.2025</w:t>
      </w:r>
    </w:p>
    <w:p>
      <w:pPr>
        <w:pStyle w:val="ListBullet"/>
        <w:spacing w:line="259" w:lineRule="auto" w:after="60"/>
      </w:pPr>
      <w:r>
        <w:t>Anlage K 10: AU-Bescheinigungen (5 AU-Phasen, Juli 2024 – April 2025)</w:t>
      </w:r>
    </w:p>
    <w:p>
      <w:pPr>
        <w:pStyle w:val="ListBullet"/>
        <w:spacing w:line="259" w:lineRule="auto" w:after="60"/>
      </w:pPr>
      <w:r>
        <w:t>Anlage K 11: EntgTranspG-Anfrage und Antwort (Körber 04.03.2024 / Branitz 14.06.2024)</w:t>
      </w:r>
    </w:p>
    <w:p>
      <w:pPr>
        <w:pStyle w:val="ListBullet"/>
        <w:spacing w:line="259" w:lineRule="auto" w:after="60"/>
      </w:pPr>
      <w:r>
        <w:t>Anlage K 12: Stellenbeschreibungen Werkleiter/in Eberswalde 2015 (Wolters) und 2021 (Körber)</w:t>
      </w:r>
    </w:p>
    <w:p>
      <w:pPr>
        <w:spacing w:line="259" w:lineRule="auto" w:after="60"/>
        <w:jc w:val="left"/>
      </w:pPr>
      <w:r>
        <w:t>Zeugen:</w:t>
      </w:r>
    </w:p>
    <w:p>
      <w:pPr>
        <w:pStyle w:val="ListBullet"/>
        <w:spacing w:line="259" w:lineRule="auto" w:after="60"/>
      </w:pPr>
      <w:r>
        <w:t>Sabine Trzebinski, Betriebsratsvorsitzende, Werk Eberswalde: Zu BR-Sitzung, Konsultationsverfahren, BEM-Fehlen</w:t>
      </w:r>
    </w:p>
    <w:p>
      <w:pPr>
        <w:pStyle w:val="ListBullet"/>
        <w:spacing w:line="259" w:lineRule="auto" w:after="60"/>
      </w:pPr>
      <w:r>
        <w:t>Dr. med. Corinna Jäkel, Fachärztin, Eberswalde: Zur Gesundheitsprognose und zu Körbers Schilderung der Kemnitz-Gespräche</w:t>
      </w:r>
    </w:p>
    <w:p>
      <w:pPr>
        <w:pStyle w:val="ListBullet"/>
        <w:spacing w:line="259" w:lineRule="auto" w:after="60"/>
      </w:pPr>
      <w:r>
        <w:t>Cornelia Dratwa (Adresse zu ermitteln): Zur Vergütung von Bernd Wolters</w:t>
      </w:r>
    </w:p>
    <w:p>
      <w:pPr>
        <w:spacing w:line="259" w:lineRule="auto" w:after="60"/>
      </w:pPr>
    </w:p>
    <w:p>
      <w:pPr>
        <w:spacing w:line="259" w:lineRule="auto" w:after="60"/>
        <w:jc w:val="left"/>
      </w:pPr>
      <w:r>
        <w:t>Dr. Jonas Reuß</w:t>
      </w:r>
    </w:p>
    <w:p>
      <w:pPr>
        <w:spacing w:line="259" w:lineRule="auto" w:after="60"/>
        <w:jc w:val="left"/>
      </w:pPr>
      <w:r>
        <w:t>Rechtsanwalt, Fachanwalt für Arbeitsrecht</w:t>
      </w:r>
    </w:p>
    <w:p>
      <w:pPr>
        <w:spacing w:line="259" w:lineRule="auto" w:after="60"/>
        <w:jc w:val="left"/>
      </w:pPr>
      <w:r>
        <w:t>Klotzkette Rechtsanwaltsgesellschaft mbH, Berlin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Klotzkette Rechtsanwaltsgesellschaft mbH | Arbeitsrechtliche Mandatsakte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