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Verhandlungsstrategie und Vergleichskorridor — Intern</w:t>
      </w:r>
    </w:p>
    <w:p>
      <w:pPr>
        <w:spacing w:line="259" w:lineRule="auto" w:after="60"/>
        <w:jc w:val="left"/>
      </w:pPr>
      <w:r>
        <w:t>Kanzlei-interne Strategie-Notiz. Nicht zur Weitergabe. Stand: 07.06.2025. RA Dr. Jonas Reuß.</w:t>
      </w:r>
    </w:p>
    <w:p>
      <w:pPr>
        <w:spacing w:line="259" w:lineRule="auto" w:after="60"/>
      </w:pPr>
    </w:p>
    <w:p>
      <w:pPr>
        <w:pStyle w:val="Heading2"/>
        <w:spacing w:before="120" w:after="60" w:line="259" w:lineRule="auto"/>
      </w:pPr>
      <w:r>
        <w:rPr>
          <w:rFonts w:ascii="Times New Roman" w:hAnsi="Times New Roman"/>
          <w:b/>
          <w:sz w:val="22"/>
        </w:rPr>
        <w:t>1. Ausgangslage</w:t>
      </w:r>
    </w:p>
    <w:p>
      <w:pPr>
        <w:spacing w:line="259" w:lineRule="auto" w:after="60"/>
        <w:jc w:val="left"/>
      </w:pPr>
      <w:r>
        <w:t>Das Mandat ist komplex: Mindestens sieben rechtlich begründete Angriffspunkte gegen die Kündigung, davon mehrere mit guten Erfolgsaussichten. Der Arbeitgeber hat durch die Druckkampagne (Branitz-E-Mails) und die Kemnitz-Gespräche zusätzliche Haftungsrisiken aufgebaut. Der Standort wird zum 31.12.2025 geschlossen — echte Weiterbeschäftigung ist faktisch nicht realisierbar. Der Verfahrensausgang wird mit hoher Wahrscheinlichkeit ein Vergleich sein.</w:t>
      </w:r>
    </w:p>
    <w:p>
      <w:pPr>
        <w:spacing w:line="259" w:lineRule="auto" w:after="60"/>
        <w:jc w:val="left"/>
      </w:pPr>
      <w:r>
        <w:t>Ziel der Mandantin: wirtschaftlich faire Abfindung, Urlaubsabgeltung, sauberes Zeugnis, kein HinSchG-Makel im Berufsleben. Körper ist bereit zu vergleichen, möchte aber nicht das Gefühl bekommen, „einfach abgekauft" zu werden. Wichtig für sie: die HinSchG-Problematik soll im Vergleich sichtbar sein.</w:t>
      </w:r>
    </w:p>
    <w:p>
      <w:pPr>
        <w:spacing w:line="259" w:lineRule="auto" w:after="60"/>
      </w:pPr>
    </w:p>
    <w:p>
      <w:pPr>
        <w:pStyle w:val="Heading2"/>
        <w:spacing w:before="120" w:after="60" w:line="259" w:lineRule="auto"/>
      </w:pPr>
      <w:r>
        <w:rPr>
          <w:rFonts w:ascii="Times New Roman" w:hAnsi="Times New Roman"/>
          <w:b/>
          <w:sz w:val="22"/>
        </w:rPr>
        <w:t>2. Hebel-Analyse</w:t>
      </w:r>
    </w:p>
    <w:p>
      <w:pPr>
        <w:pStyle w:val="Heading3"/>
        <w:spacing w:line="259" w:lineRule="auto" w:after="60"/>
      </w:pPr>
      <w:r>
        <w:rPr>
          <w:rFonts w:ascii="Times New Roman" w:hAnsi="Times New Roman"/>
        </w:rPr>
        <w:t>Hebel 1: Krankheitsbedingte Kündigung ohne BEM (stark)</w:t>
      </w:r>
    </w:p>
    <w:p>
      <w:pPr>
        <w:spacing w:line="259" w:lineRule="auto" w:after="60"/>
        <w:jc w:val="left"/>
      </w:pPr>
      <w:r>
        <w:t>Bewertung: stark. BEM fehlt nachweislich, Körpers Anfrage ist dokumentiert, Branitz' Antwort ist aktenkundig. Die Beklagte kann nicht darlegen, dass BEM keine Alternativen ergeben hätte. Die personenbedingte Kündigung ist in erster Instanz mit hoher Wahrscheinlichkeit unwirksam.</w:t>
      </w:r>
    </w:p>
    <w:p>
      <w:pPr>
        <w:spacing w:line="259" w:lineRule="auto" w:after="60"/>
        <w:jc w:val="left"/>
      </w:pPr>
      <w:r>
        <w:rPr>
          <w:b/>
        </w:rPr>
        <w:t>Verhandlungswert:</w:t>
      </w:r>
      <w:r>
        <w:t xml:space="preserve"> Haupthebel. Gibt der Klägerin eine gute Ausgangsposition für die Güteverhandlung.</w:t>
      </w:r>
    </w:p>
    <w:p>
      <w:pPr>
        <w:pStyle w:val="Heading3"/>
        <w:spacing w:line="259" w:lineRule="auto" w:after="60"/>
      </w:pPr>
      <w:r>
        <w:rPr>
          <w:rFonts w:ascii="Times New Roman" w:hAnsi="Times New Roman"/>
        </w:rPr>
        <w:t>Hebel 2: HinSchG-Repressalie (mittel bis stark)</w:t>
      </w:r>
    </w:p>
    <w:p>
      <w:pPr>
        <w:spacing w:line="259" w:lineRule="auto" w:after="60"/>
        <w:jc w:val="left"/>
      </w:pPr>
      <w:r>
        <w:t>Bewertung: Mittel bis stark. Die zeitliche Koinzidenz ist eindeutig; die Kemnitz-Gespräche sind durch Notizen Körbers und (mittelbar) durch Therapeutin Jäkel belegt. Allerdings: Kemnitz wird die Gespräche in anderem Licht darstellen. Zeuge auf unserer Seite ist allein Körber (Vier-Augen-Gespräche). Die Beweislast-Umkehr nach § 37 HinSchG hilft.</w:t>
      </w:r>
    </w:p>
    <w:p>
      <w:pPr>
        <w:spacing w:line="259" w:lineRule="auto" w:after="60"/>
        <w:jc w:val="left"/>
      </w:pPr>
      <w:r>
        <w:rPr>
          <w:b/>
        </w:rPr>
        <w:t>Verhandlungswert:</w:t>
      </w:r>
      <w:r>
        <w:t xml:space="preserve"> Erhöht die Risikoexposition der Beklagten erheblich. Das HinSchG-Thema ist gefürchtet, weil es Reputationsschäden und strafrechtliche Ermittlungsrisiken (bezüglich der Verrechnungspreise) impliziert. Dieses Argument wird in der Güteverhandlung diskret, aber klar angesprochen.</w:t>
      </w:r>
    </w:p>
    <w:p>
      <w:pPr>
        <w:pStyle w:val="Heading3"/>
        <w:spacing w:line="259" w:lineRule="auto" w:after="60"/>
      </w:pPr>
      <w:r>
        <w:rPr>
          <w:rFonts w:ascii="Times New Roman" w:hAnsi="Times New Roman"/>
        </w:rPr>
        <w:t>Hebel 3: Massenentlassungsanzeige-Fehler (mittel)</w:t>
      </w:r>
    </w:p>
    <w:p>
      <w:pPr>
        <w:spacing w:line="259" w:lineRule="auto" w:after="60"/>
        <w:jc w:val="left"/>
      </w:pPr>
      <w:r>
        <w:t>Bewertung: Mittel. Ob die Anzeige vor der Kündigung erstattet wurde, ist noch offen. Wenn nicht: eigenständige Unwirksamkeit. Beweisantrag auf Vorlage der Anzeige und des Eingangsdatums bei der Agentur für Arbeit wird gestellt. Wenn die Beklagte die Anzeige tatsächlich vorher erstattet hat, entfällt dieser Hebel.</w:t>
      </w:r>
    </w:p>
    <w:p>
      <w:pPr>
        <w:spacing w:line="259" w:lineRule="auto" w:after="60"/>
        <w:jc w:val="left"/>
      </w:pPr>
      <w:r>
        <w:rPr>
          <w:b/>
        </w:rPr>
        <w:t>Verhandlungswert:</w:t>
      </w:r>
      <w:r>
        <w:t xml:space="preserve"> Als Drohpotenzial nützlich; wenn bestätigt, stark.</w:t>
      </w:r>
    </w:p>
    <w:p>
      <w:pPr>
        <w:pStyle w:val="Heading3"/>
        <w:spacing w:line="259" w:lineRule="auto" w:after="60"/>
      </w:pPr>
      <w:r>
        <w:rPr>
          <w:rFonts w:ascii="Times New Roman" w:hAnsi="Times New Roman"/>
        </w:rPr>
        <w:t>Hebel 4: BR-Quorumsstreit (schwach bis mittel)</w:t>
      </w:r>
    </w:p>
    <w:p>
      <w:pPr>
        <w:spacing w:line="259" w:lineRule="auto" w:after="60"/>
        <w:jc w:val="left"/>
      </w:pPr>
      <w:r>
        <w:t>Bewertung: schwach bis mittel. Der Widerspruch ist wahrscheinlich wirksam (Beschlussergebnis nicht beeinflusst). Aber: die Steinhoff SE hat das Thema angesprochen; wir können es als Gegenthema nutzen und unsere Rechtslage darlegen. Weiterbeschäftigungsanspruch nach § 102 Abs. 5 BetrVG ist ein praktisches Druckmittel.</w:t>
      </w:r>
    </w:p>
    <w:p>
      <w:pPr>
        <w:spacing w:line="259" w:lineRule="auto" w:after="60"/>
        <w:jc w:val="left"/>
      </w:pPr>
      <w:r>
        <w:rPr>
          <w:b/>
        </w:rPr>
        <w:t>Verhandlungswert:</w:t>
      </w:r>
      <w:r>
        <w:t xml:space="preserve"> Der Weiterbeschäftigungsantrag nach § 102 Abs. 5 BetrVG erhöht den Druck auf den Arbeitgeber im Kammertermin deutlich — er muss dann aktiv die Aussetzung beantragen.</w:t>
      </w:r>
    </w:p>
    <w:p>
      <w:pPr>
        <w:pStyle w:val="Heading3"/>
        <w:spacing w:line="259" w:lineRule="auto" w:after="60"/>
      </w:pPr>
      <w:r>
        <w:rPr>
          <w:rFonts w:ascii="Times New Roman" w:hAnsi="Times New Roman"/>
        </w:rPr>
        <w:t>Hebel 5: Equal Pay / EntgTranspG (stark, aber separates Verfahren)</w:t>
      </w:r>
    </w:p>
    <w:p>
      <w:pPr>
        <w:spacing w:line="259" w:lineRule="auto" w:after="60"/>
        <w:jc w:val="left"/>
      </w:pPr>
      <w:r>
        <w:t>Bewertung: Sehr stark für ein gesondertes Verfahren. Im KSchG-Verfahren können die Equal-Pay-Ansprüche eingebracht werden, um den Vergleichsdruck zu erhöhen. Die Nachzahlungssumme von bis zu 176.000 EUR (über vier Jahre) ist erheblich.</w:t>
      </w:r>
    </w:p>
    <w:p>
      <w:pPr>
        <w:spacing w:line="259" w:lineRule="auto" w:after="60"/>
        <w:jc w:val="left"/>
      </w:pPr>
      <w:r>
        <w:rPr>
          <w:b/>
        </w:rPr>
        <w:t>Verhandlungswert:</w:t>
      </w:r>
      <w:r>
        <w:t xml:space="preserve"> Erhöht den Gesamtvergleichsrahmen erheblich. Die Mandantin sollte dies parallel vorbereiten; in der Güteverhandlung ankündigen, dass eine separate Zahlungsklage folgt, wenn kein Gesamtvergleich erzielt wird.</w:t>
      </w:r>
    </w:p>
    <w:p>
      <w:pPr>
        <w:pStyle w:val="Heading3"/>
        <w:spacing w:line="259" w:lineRule="auto" w:after="60"/>
      </w:pPr>
      <w:r>
        <w:rPr>
          <w:rFonts w:ascii="Times New Roman" w:hAnsi="Times New Roman"/>
        </w:rPr>
        <w:t>Hebel 6: Befristungsfehler Senior Advisor (schwach bis mittel)</w:t>
      </w:r>
    </w:p>
    <w:p>
      <w:pPr>
        <w:spacing w:line="259" w:lineRule="auto" w:after="60"/>
        <w:jc w:val="left"/>
      </w:pPr>
      <w:r>
        <w:t>Bewertung: Schwach für den Fortbestand (Arbeitsverhältnis endet ohnehin), mittel für den Vergütungsanspruch (Monatszulagen seit September 2024 ausstehend = ca. 9 × 1.200 EUR = 10.800 EUR).</w:t>
      </w:r>
    </w:p>
    <w:p>
      <w:pPr>
        <w:spacing w:line="259" w:lineRule="auto" w:after="60"/>
        <w:jc w:val="left"/>
      </w:pPr>
      <w:r>
        <w:rPr>
          <w:b/>
        </w:rPr>
        <w:t>Verhandlungswert:</w:t>
      </w:r>
      <w:r>
        <w:t xml:space="preserve"> Ergänzend im Vergleich zu sichern.</w:t>
      </w:r>
    </w:p>
    <w:p>
      <w:pPr>
        <w:pStyle w:val="Heading3"/>
        <w:spacing w:line="259" w:lineRule="auto" w:after="60"/>
      </w:pPr>
      <w:r>
        <w:rPr>
          <w:rFonts w:ascii="Times New Roman" w:hAnsi="Times New Roman"/>
        </w:rPr>
        <w:t>Hebel 7: Resturlaub und Freistellungsklausel (mittel)</w:t>
      </w:r>
    </w:p>
    <w:p>
      <w:pPr>
        <w:spacing w:line="259" w:lineRule="auto" w:after="60"/>
        <w:jc w:val="left"/>
      </w:pPr>
      <w:r>
        <w:t>Bewertung: Mittel. 20.368 EUR Urlaubsabgeltung. Gut belegbar. Im Vergleich als eigenständige Position zu sichern.</w:t>
      </w:r>
    </w:p>
    <w:p>
      <w:pPr>
        <w:spacing w:line="259" w:lineRule="auto" w:after="60"/>
        <w:jc w:val="left"/>
      </w:pPr>
      <w:r>
        <w:rPr>
          <w:b/>
        </w:rPr>
        <w:t>Verhandlungswert:</w:t>
      </w:r>
      <w:r>
        <w:t xml:space="preserve"> Nicht verhandelbar — dieser Betrag gehört der Mandantin materiell. Im Vergleich als feste Position setzen.</w:t>
      </w:r>
    </w:p>
    <w:p>
      <w:pPr>
        <w:spacing w:line="259" w:lineRule="auto" w:after="60"/>
      </w:pPr>
    </w:p>
    <w:p>
      <w:pPr>
        <w:pStyle w:val="Heading2"/>
        <w:spacing w:line="259" w:lineRule="auto" w:after="60"/>
      </w:pPr>
      <w:r>
        <w:rPr>
          <w:rFonts w:ascii="Times New Roman" w:hAnsi="Times New Roman"/>
        </w:rPr>
        <w:t>3. Vergleichskorridor</w:t>
      </w:r>
    </w:p>
    <w:p>
      <w:pPr>
        <w:pStyle w:val="Heading3"/>
        <w:spacing w:line="259" w:lineRule="auto" w:after="60"/>
      </w:pPr>
      <w:r>
        <w:rPr>
          <w:rFonts w:ascii="Times New Roman" w:hAnsi="Times New Roman"/>
        </w:rPr>
        <w:t>3.1 Abfindung (Hauptposition)</w:t>
      </w:r>
    </w:p>
    <w:p>
      <w:pPr>
        <w:spacing w:line="259" w:lineRule="auto" w:after="60"/>
        <w:jc w:val="left"/>
      </w:pPr>
      <w:r>
        <w:t>Gesetzliche Referenz (§ 1a KSchG): 0,5 × 14 Jahre × 14.427 EUR/Monat = ca. 101.000 EUR (inklusive Tantieme).</w:t>
      </w:r>
    </w:p>
    <w:p>
      <w:pPr>
        <w:spacing w:line="259" w:lineRule="auto" w:after="60"/>
        <w:jc w:val="left"/>
      </w:pPr>
      <w:r>
        <w:t xml:space="preserve">Angestrebter Faktor: </w:t>
      </w:r>
      <w:r>
        <w:rPr>
          <w:b/>
        </w:rPr>
        <w:t>1,2 bis 1,8 Monatsentgelte je Beschäftigungsjahr</w:t>
      </w:r>
      <w:r>
        <w:t xml:space="preserve"> (statt 0,5).</w:t>
      </w:r>
    </w:p>
    <w:p>
      <w:pPr>
        <w:spacing w:line="259" w:lineRule="auto" w:after="60"/>
        <w:jc w:val="left"/>
      </w:pPr>
      <w:r>
        <w:rPr>
          <w:b/>
        </w:rPr>
        <w:t>Untere Grenze (Walk-Away-Punkt):</w:t>
      </w:r>
      <w:r>
        <w:t xml:space="preserve"> 14 × 1,2 × 14.427 EUR = ca. 242.000 EUR brutto.</w:t>
      </w:r>
    </w:p>
    <w:p>
      <w:pPr>
        <w:spacing w:line="259" w:lineRule="auto" w:after="60"/>
        <w:jc w:val="left"/>
      </w:pPr>
      <w:r>
        <w:rPr>
          <w:b/>
        </w:rPr>
        <w:t>Obere Realitätsgrenze:</w:t>
      </w:r>
      <w:r>
        <w:t xml:space="preserve"> 14 × 1,8 × 14.427 EUR = ca. 363.000 EUR brutto.</w:t>
      </w:r>
    </w:p>
    <w:p>
      <w:pPr>
        <w:spacing w:line="259" w:lineRule="auto" w:after="60"/>
        <w:jc w:val="left"/>
      </w:pPr>
      <w:r>
        <w:rPr>
          <w:b/>
        </w:rPr>
        <w:t>Angestrebter Zielwert:</w:t>
      </w:r>
      <w:r>
        <w:t xml:space="preserve"> 14 × 1,5 × 14.427 EUR = ca. 302.000 EUR brutto.</w:t>
      </w:r>
    </w:p>
    <w:p>
      <w:pPr>
        <w:spacing w:line="259" w:lineRule="auto" w:after="60"/>
        <w:jc w:val="left"/>
      </w:pPr>
      <w:r>
        <w:t>Der erhöhte Faktor rechtfertigt sich durch: starke Rechtsposition (BEM-Fehler), HinSchG-Risiko für die Beklagte, Equal-Pay-Nachzahlungsanspruch als Druckmittel, fehlerhafte Betriebsratsanhörung.</w:t>
      </w:r>
    </w:p>
    <w:p>
      <w:pPr>
        <w:pStyle w:val="Heading3"/>
        <w:spacing w:line="259" w:lineRule="auto" w:after="60"/>
      </w:pPr>
      <w:r>
        <w:rPr>
          <w:rFonts w:ascii="Times New Roman" w:hAnsi="Times New Roman"/>
        </w:rPr>
        <w:t>3.2 Equal-Pay-Nachzahlung</w:t>
      </w:r>
    </w:p>
    <w:p>
      <w:pPr>
        <w:spacing w:line="259" w:lineRule="auto" w:after="60"/>
        <w:jc w:val="left"/>
      </w:pPr>
      <w:r>
        <w:t>Als gesonderte Position (entweder im Gesamtvergleich oder separat eingeklagt):</w:t>
      </w:r>
    </w:p>
    <w:p>
      <w:pPr>
        <w:pStyle w:val="ListBullet"/>
        <w:spacing w:line="259" w:lineRule="auto" w:after="60"/>
      </w:pPr>
      <w:r>
        <w:t>Minimalposition: 3 Jahre × 13.000 EUR (Median-Delta) = 39.000 EUR netto</w:t>
      </w:r>
    </w:p>
    <w:p>
      <w:pPr>
        <w:pStyle w:val="ListBullet"/>
        <w:spacing w:line="259" w:lineRule="auto" w:after="60"/>
      </w:pPr>
      <w:r>
        <w:t>Zielwert: Tantieme-Differenz einbezogen = 3 × (13.000 + 17.000) EUR = 90.000 EUR brutto</w:t>
      </w:r>
    </w:p>
    <w:p>
      <w:pPr>
        <w:pStyle w:val="Heading3"/>
        <w:spacing w:line="259" w:lineRule="auto" w:after="60"/>
      </w:pPr>
      <w:r>
        <w:rPr>
          <w:rFonts w:ascii="Times New Roman" w:hAnsi="Times New Roman"/>
        </w:rPr>
        <w:t>3.3 Urlaubsabgeltung</w:t>
      </w:r>
    </w:p>
    <w:p>
      <w:pPr>
        <w:spacing w:line="259" w:lineRule="auto" w:after="60"/>
        <w:jc w:val="left"/>
      </w:pPr>
      <w:r>
        <w:t>Festbetrag: 20.368 EUR brutto. Nicht verhandelbar.</w:t>
      </w:r>
    </w:p>
    <w:p>
      <w:pPr>
        <w:pStyle w:val="Heading3"/>
        <w:spacing w:line="259" w:lineRule="auto" w:after="60"/>
      </w:pPr>
      <w:r>
        <w:rPr>
          <w:rFonts w:ascii="Times New Roman" w:hAnsi="Times New Roman"/>
        </w:rPr>
        <w:t>3.4 Senior Advisor Monatszulagen</w:t>
      </w:r>
    </w:p>
    <w:p>
      <w:pPr>
        <w:spacing w:line="259" w:lineRule="auto" w:after="60"/>
        <w:jc w:val="left"/>
      </w:pPr>
      <w:r>
        <w:t>Ausstehend seit September 2024 (nach Ende Verlängerung II, mündliche Verlängerungen III+IV unwirksam, Vergütungsanspruch aber aus Entfristung): 9 Monate × 1.200 EUR = 10.800 EUR.</w:t>
      </w:r>
    </w:p>
    <w:p>
      <w:pPr>
        <w:pStyle w:val="Heading3"/>
        <w:spacing w:line="259" w:lineRule="auto" w:after="60"/>
      </w:pPr>
      <w:r>
        <w:rPr>
          <w:rFonts w:ascii="Times New Roman" w:hAnsi="Times New Roman"/>
        </w:rPr>
        <w:t>3.5 HinSchG-Klausel im Vergleich / Zeugnis</w:t>
      </w:r>
    </w:p>
    <w:p>
      <w:pPr>
        <w:spacing w:line="259" w:lineRule="auto" w:after="60"/>
        <w:jc w:val="left"/>
      </w:pPr>
      <w:r>
        <w:t>Vergleichstext sollte enthalten:</w:t>
      </w:r>
    </w:p>
    <w:p>
      <w:pPr>
        <w:pStyle w:val="ListBullet"/>
        <w:spacing w:line="259" w:lineRule="auto" w:after="60"/>
      </w:pPr>
      <w:r>
        <w:t>Verpflichtung des Arbeitgebers, im qualifizierten Zeugnis keine Formulierung zu verwenden, die auf Fehlzeiten oder Compliance-Vorgänge Bezug nimmt.</w:t>
      </w:r>
    </w:p>
    <w:p>
      <w:pPr>
        <w:pStyle w:val="ListBullet"/>
        <w:spacing w:line="259" w:lineRule="auto" w:after="60"/>
      </w:pPr>
      <w:r>
        <w:t>Verpflichtung des Arbeitgebers, der Klägerin gegenüber keinen Regressanspruch wegen der HinSchG-Meldung zu erheben.</w:t>
      </w:r>
    </w:p>
    <w:p>
      <w:pPr>
        <w:pStyle w:val="ListBullet"/>
        <w:spacing w:line="259" w:lineRule="auto" w:after="60"/>
      </w:pPr>
      <w:r>
        <w:t>Schweigeverpflichtung (gegenseitig), aber mit ausdrücklichem Vorbehalt, dass die Klägerin jederzeit berechtigt bleibt, Anzeigen bei Behörden zu erstatten.</w:t>
      </w:r>
    </w:p>
    <w:p>
      <w:pPr>
        <w:pStyle w:val="Heading3"/>
        <w:spacing w:line="259" w:lineRule="auto" w:after="60"/>
      </w:pPr>
      <w:r>
        <w:rPr>
          <w:rFonts w:ascii="Times New Roman" w:hAnsi="Times New Roman"/>
        </w:rPr>
        <w:t>3.6 Gesamtvergleichsrahmen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Position</w:t>
            </w:r>
          </w:p>
        </w:tc>
        <w:tc>
          <w:tcPr>
            <w:tcW w:type="dxa" w:w="2268"/>
          </w:tcPr>
          <w:p>
            <w:r>
              <w:rPr>
                <w:rFonts w:ascii="Times New Roman" w:hAnsi="Times New Roman"/>
                <w:b/>
                <w:sz w:val="20"/>
              </w:rPr>
              <w:t>Untergrenze</w:t>
            </w:r>
          </w:p>
        </w:tc>
        <w:tc>
          <w:tcPr>
            <w:tcW w:type="dxa" w:w="2268"/>
          </w:tcPr>
          <w:p>
            <w:r>
              <w:rPr>
                <w:rFonts w:ascii="Times New Roman" w:hAnsi="Times New Roman"/>
                <w:b/>
                <w:sz w:val="20"/>
              </w:rPr>
              <w:t>Ziel</w:t>
            </w:r>
          </w:p>
        </w:tc>
        <w:tc>
          <w:tcPr>
            <w:tcW w:type="dxa" w:w="2268"/>
          </w:tcPr>
          <w:p>
            <w:r>
              <w:rPr>
                <w:rFonts w:ascii="Times New Roman" w:hAnsi="Times New Roman"/>
                <w:b/>
                <w:sz w:val="20"/>
              </w:rPr>
              <w:t>Obergrenze</w:t>
            </w:r>
          </w:p>
        </w:tc>
      </w:tr>
      <w:tr>
        <w:tc>
          <w:tcPr>
            <w:tcW w:type="dxa" w:w="2268"/>
          </w:tcPr>
          <w:p>
            <w:r>
              <w:rPr>
                <w:rFonts w:ascii="Times New Roman" w:hAnsi="Times New Roman"/>
                <w:sz w:val="20"/>
              </w:rPr>
              <w:t>Abfindung (1,2–1,8 Faktor)</w:t>
            </w:r>
          </w:p>
        </w:tc>
        <w:tc>
          <w:tcPr>
            <w:tcW w:type="dxa" w:w="2268"/>
          </w:tcPr>
          <w:p>
            <w:r>
              <w:rPr>
                <w:rFonts w:ascii="Times New Roman" w:hAnsi="Times New Roman"/>
                <w:sz w:val="20"/>
              </w:rPr>
              <w:t>242.000 EUR</w:t>
            </w:r>
          </w:p>
        </w:tc>
        <w:tc>
          <w:tcPr>
            <w:tcW w:type="dxa" w:w="2268"/>
          </w:tcPr>
          <w:p>
            <w:r>
              <w:rPr>
                <w:rFonts w:ascii="Times New Roman" w:hAnsi="Times New Roman"/>
                <w:sz w:val="20"/>
              </w:rPr>
              <w:t>302.000 EUR</w:t>
            </w:r>
          </w:p>
        </w:tc>
        <w:tc>
          <w:tcPr>
            <w:tcW w:type="dxa" w:w="2268"/>
          </w:tcPr>
          <w:p>
            <w:r>
              <w:rPr>
                <w:rFonts w:ascii="Times New Roman" w:hAnsi="Times New Roman"/>
                <w:sz w:val="20"/>
              </w:rPr>
              <w:t>363.000 EUR</w:t>
            </w:r>
          </w:p>
        </w:tc>
      </w:tr>
      <w:tr>
        <w:tc>
          <w:tcPr>
            <w:tcW w:type="dxa" w:w="2268"/>
          </w:tcPr>
          <w:p>
            <w:r>
              <w:rPr>
                <w:rFonts w:ascii="Times New Roman" w:hAnsi="Times New Roman"/>
                <w:sz w:val="20"/>
              </w:rPr>
              <w:t>Equal-Pay-Nachzahlung</w:t>
            </w:r>
          </w:p>
        </w:tc>
        <w:tc>
          <w:tcPr>
            <w:tcW w:type="dxa" w:w="2268"/>
          </w:tcPr>
          <w:p>
            <w:r>
              <w:rPr>
                <w:rFonts w:ascii="Times New Roman" w:hAnsi="Times New Roman"/>
                <w:sz w:val="20"/>
              </w:rPr>
              <w:t>39.000 EUR</w:t>
            </w:r>
          </w:p>
        </w:tc>
        <w:tc>
          <w:tcPr>
            <w:tcW w:type="dxa" w:w="2268"/>
          </w:tcPr>
          <w:p>
            <w:r>
              <w:rPr>
                <w:rFonts w:ascii="Times New Roman" w:hAnsi="Times New Roman"/>
                <w:sz w:val="20"/>
              </w:rPr>
              <w:t>65.000 EUR</w:t>
            </w:r>
          </w:p>
        </w:tc>
        <w:tc>
          <w:tcPr>
            <w:tcW w:type="dxa" w:w="2268"/>
          </w:tcPr>
          <w:p>
            <w:r>
              <w:rPr>
                <w:rFonts w:ascii="Times New Roman" w:hAnsi="Times New Roman"/>
                <w:sz w:val="20"/>
              </w:rPr>
              <w:t>90.000 EUR</w:t>
            </w:r>
          </w:p>
        </w:tc>
      </w:tr>
      <w:tr>
        <w:tc>
          <w:tcPr>
            <w:tcW w:type="dxa" w:w="2268"/>
          </w:tcPr>
          <w:p>
            <w:r>
              <w:rPr>
                <w:rFonts w:ascii="Times New Roman" w:hAnsi="Times New Roman"/>
                <w:sz w:val="20"/>
              </w:rPr>
              <w:t>Urlaubsabgeltung (Festbetrag)</w:t>
            </w:r>
          </w:p>
        </w:tc>
        <w:tc>
          <w:tcPr>
            <w:tcW w:type="dxa" w:w="2268"/>
          </w:tcPr>
          <w:p>
            <w:r>
              <w:rPr>
                <w:rFonts w:ascii="Times New Roman" w:hAnsi="Times New Roman"/>
                <w:sz w:val="20"/>
              </w:rPr>
              <w:t>20.368 EUR</w:t>
            </w:r>
          </w:p>
        </w:tc>
        <w:tc>
          <w:tcPr>
            <w:tcW w:type="dxa" w:w="2268"/>
          </w:tcPr>
          <w:p>
            <w:r>
              <w:rPr>
                <w:rFonts w:ascii="Times New Roman" w:hAnsi="Times New Roman"/>
                <w:sz w:val="20"/>
              </w:rPr>
              <w:t>20.368 EUR</w:t>
            </w:r>
          </w:p>
        </w:tc>
        <w:tc>
          <w:tcPr>
            <w:tcW w:type="dxa" w:w="2268"/>
          </w:tcPr>
          <w:p>
            <w:r>
              <w:rPr>
                <w:rFonts w:ascii="Times New Roman" w:hAnsi="Times New Roman"/>
                <w:sz w:val="20"/>
              </w:rPr>
              <w:t>20.368 EUR</w:t>
            </w:r>
          </w:p>
        </w:tc>
      </w:tr>
      <w:tr>
        <w:tc>
          <w:tcPr>
            <w:tcW w:type="dxa" w:w="2268"/>
          </w:tcPr>
          <w:p>
            <w:r>
              <w:rPr>
                <w:rFonts w:ascii="Times New Roman" w:hAnsi="Times New Roman"/>
                <w:sz w:val="20"/>
              </w:rPr>
              <w:t>Senior Advisor Zulagen</w:t>
            </w:r>
          </w:p>
        </w:tc>
        <w:tc>
          <w:tcPr>
            <w:tcW w:type="dxa" w:w="2268"/>
          </w:tcPr>
          <w:p>
            <w:r>
              <w:rPr>
                <w:rFonts w:ascii="Times New Roman" w:hAnsi="Times New Roman"/>
                <w:sz w:val="20"/>
              </w:rPr>
              <w:t>0 EUR</w:t>
            </w:r>
          </w:p>
        </w:tc>
        <w:tc>
          <w:tcPr>
            <w:tcW w:type="dxa" w:w="2268"/>
          </w:tcPr>
          <w:p>
            <w:r>
              <w:rPr>
                <w:rFonts w:ascii="Times New Roman" w:hAnsi="Times New Roman"/>
                <w:sz w:val="20"/>
              </w:rPr>
              <w:t>10.800 EUR</w:t>
            </w:r>
          </w:p>
        </w:tc>
        <w:tc>
          <w:tcPr>
            <w:tcW w:type="dxa" w:w="2268"/>
          </w:tcPr>
          <w:p>
            <w:r>
              <w:rPr>
                <w:rFonts w:ascii="Times New Roman" w:hAnsi="Times New Roman"/>
                <w:sz w:val="20"/>
              </w:rPr>
              <w:t>10.800 EUR</w:t>
            </w:r>
          </w:p>
        </w:tc>
      </w:tr>
      <w:tr>
        <w:tc>
          <w:tcPr>
            <w:tcW w:type="dxa" w:w="2268"/>
          </w:tcPr>
          <w:p>
            <w:r>
              <w:rPr>
                <w:rFonts w:ascii="Times New Roman" w:hAnsi="Times New Roman"/>
                <w:b/>
                <w:sz w:val="20"/>
              </w:rPr>
              <w:t>Gesamt brutto</w:t>
            </w:r>
          </w:p>
        </w:tc>
        <w:tc>
          <w:tcPr>
            <w:tcW w:type="dxa" w:w="2268"/>
          </w:tcPr>
          <w:p>
            <w:r>
              <w:rPr>
                <w:rFonts w:ascii="Times New Roman" w:hAnsi="Times New Roman"/>
                <w:b/>
                <w:sz w:val="20"/>
              </w:rPr>
              <w:t>ca. 301.000 EUR</w:t>
            </w:r>
          </w:p>
        </w:tc>
        <w:tc>
          <w:tcPr>
            <w:tcW w:type="dxa" w:w="2268"/>
          </w:tcPr>
          <w:p>
            <w:r>
              <w:rPr>
                <w:rFonts w:ascii="Times New Roman" w:hAnsi="Times New Roman"/>
                <w:b/>
                <w:sz w:val="20"/>
              </w:rPr>
              <w:t>ca. 398.000 EUR</w:t>
            </w:r>
          </w:p>
        </w:tc>
        <w:tc>
          <w:tcPr>
            <w:tcW w:type="dxa" w:w="2268"/>
          </w:tcPr>
          <w:p>
            <w:r>
              <w:rPr>
                <w:rFonts w:ascii="Times New Roman" w:hAnsi="Times New Roman"/>
                <w:b/>
                <w:sz w:val="20"/>
              </w:rPr>
              <w:t>ca. 484.000 EUR</w:t>
            </w:r>
          </w:p>
        </w:tc>
      </w:tr>
    </w:tbl>
    <w:p>
      <w:pPr>
        <w:spacing w:line="259" w:lineRule="auto" w:after="60"/>
      </w:pPr>
    </w:p>
    <w:p>
      <w:pPr>
        <w:pStyle w:val="Heading2"/>
        <w:spacing w:line="259" w:lineRule="auto" w:after="60"/>
      </w:pPr>
      <w:r>
        <w:rPr>
          <w:rFonts w:ascii="Times New Roman" w:hAnsi="Times New Roman"/>
        </w:rPr>
        <w:t>4. Verfahrensplanung</w:t>
      </w:r>
    </w:p>
    <w:p>
      <w:pPr>
        <w:pStyle w:val="Heading3"/>
        <w:spacing w:line="259" w:lineRule="auto" w:after="60"/>
      </w:pPr>
      <w:r>
        <w:rPr>
          <w:rFonts w:ascii="Times New Roman" w:hAnsi="Times New Roman"/>
        </w:rPr>
        <w:t>Gütetermin (voraussichtlich August / September 2025)</w:t>
      </w:r>
    </w:p>
    <w:p>
      <w:pPr>
        <w:spacing w:line="259" w:lineRule="auto" w:after="60"/>
        <w:jc w:val="left"/>
      </w:pPr>
      <w:r>
        <w:t>Strategie: Alle sieben Hebel benennen, nicht auf alle gleichzeitig insistieren. HinSchG-Dimension diskret ansprechen: „Wir halten die Kündigung aus mehreren Gründen für unwirksam — darunter auch einen, der über das normale Kündigungsschutzrecht hinausgeht und erhebliche Konsequenzen für die Beklagte haben könnte, wenn er im Verfahren breiter erörtert wird." Dies signalisiert dem Richter und der Gegenseite den HinSchG-Hintergrund, ohne das Schlagwort zum Aufhänger einer Eskalation zu machen.</w:t>
      </w:r>
    </w:p>
    <w:p>
      <w:pPr>
        <w:spacing w:line="259" w:lineRule="auto" w:after="60"/>
        <w:jc w:val="left"/>
      </w:pPr>
      <w:r>
        <w:t>Güterverhandlungsgrenze: Unterhalb von 300.000 EUR Gesamtpaket kein Abschluss.</w:t>
      </w:r>
    </w:p>
    <w:p>
      <w:pPr>
        <w:pStyle w:val="Heading3"/>
        <w:spacing w:line="259" w:lineRule="auto" w:after="60"/>
      </w:pPr>
      <w:r>
        <w:rPr>
          <w:rFonts w:ascii="Times New Roman" w:hAnsi="Times New Roman"/>
        </w:rPr>
        <w:t>Kammertermin (voraussichtlich Oktober / November 2025)</w:t>
      </w:r>
    </w:p>
    <w:p>
      <w:pPr>
        <w:spacing w:line="259" w:lineRule="auto" w:after="60"/>
        <w:jc w:val="left"/>
      </w:pPr>
      <w:r>
        <w:t>Wenn die Güteverhandlung scheitert: Weiterbeschäftigungsantrag nach § 102 Abs. 5 BetrVG schärfen. Massenentlassungsanzeige-Frage klären (Beweisantrag). Beantwortung der EntgTranspG-Auskunft erzwingen (§ 142 ZPO).</w:t>
      </w:r>
    </w:p>
    <w:p>
      <w:pPr>
        <w:spacing w:line="259" w:lineRule="auto" w:after="60"/>
        <w:jc w:val="left"/>
      </w:pPr>
      <w:r>
        <w:t>Gleichzeitig: Equal-Pay-Zahlungsklage einreichen (ggf. verbunden mit Antrag auf Verbindung der Verfahren).</w:t>
      </w:r>
    </w:p>
    <w:p>
      <w:pPr>
        <w:pStyle w:val="Heading3"/>
        <w:spacing w:line="259" w:lineRule="auto" w:after="60"/>
      </w:pPr>
      <w:r>
        <w:rPr>
          <w:rFonts w:ascii="Times New Roman" w:hAnsi="Times New Roman"/>
        </w:rPr>
        <w:t>Best Case</w:t>
      </w:r>
    </w:p>
    <w:p>
      <w:pPr>
        <w:spacing w:line="259" w:lineRule="auto" w:after="60"/>
        <w:jc w:val="left"/>
      </w:pPr>
      <w:r>
        <w:t>Gütevergleich mit ca. 350.000–400.000 EUR Gesamtpaket inkl. HinSchG-Klausel und gutem Zeugnis.</w:t>
      </w:r>
    </w:p>
    <w:p>
      <w:pPr>
        <w:pStyle w:val="Heading3"/>
        <w:spacing w:line="259" w:lineRule="auto" w:after="60"/>
      </w:pPr>
      <w:r>
        <w:rPr>
          <w:rFonts w:ascii="Times New Roman" w:hAnsi="Times New Roman"/>
        </w:rPr>
        <w:t>Worst Case</w:t>
      </w:r>
    </w:p>
    <w:p>
      <w:pPr>
        <w:spacing w:line="259" w:lineRule="auto" w:after="60"/>
        <w:jc w:val="left"/>
      </w:pPr>
      <w:r>
        <w:t>Erststufenurteil Ablehnung KSchG-Klage (unwahrscheinlich, da BEM-Fehler stark), dann Berufung LAG Berlin-Brandenburg. Langer Weg, aber die Rechtslage ist günstig.</w:t>
      </w:r>
    </w:p>
    <w:p>
      <w:pPr>
        <w:spacing w:line="259" w:lineRule="auto" w:after="60"/>
      </w:pPr>
    </w:p>
    <w:p>
      <w:pPr>
        <w:pStyle w:val="Heading2"/>
        <w:spacing w:line="259" w:lineRule="auto" w:after="60"/>
      </w:pPr>
      <w:r>
        <w:rPr>
          <w:rFonts w:ascii="Times New Roman" w:hAnsi="Times New Roman"/>
        </w:rPr>
        <w:t>5. Mandanteninformation (geplant)</w:t>
      </w:r>
    </w:p>
    <w:p>
      <w:pPr>
        <w:spacing w:line="259" w:lineRule="auto" w:after="60"/>
        <w:jc w:val="left"/>
      </w:pPr>
      <w:r>
        <w:t>Körber wird in einem separaten Besprechungstermin (geplant: 10.06.2025) über den Vergleichskorridor informiert. Sie hat signalisiert, dass sie keinen langen Rechtsstreit führen möchte — gleichzeitig liegt ihr der HinSchG-Aspekt am Herzen.</w:t>
      </w:r>
    </w:p>
    <w:p>
      <w:pPr>
        <w:spacing w:line="259" w:lineRule="auto" w:after="60"/>
        <w:jc w:val="left"/>
      </w:pPr>
      <w:r>
        <w:t>Hinweis an Mandantin: Ein Vergleich, der die HinSchG-Dimension durch eine entsprechende Klausel ehrt, ist besser als ein höheres Abfindungsbetrag ohne diese Absicherung.</w:t>
      </w:r>
    </w:p>
    <w:p>
      <w:pPr>
        <w:spacing w:line="259" w:lineRule="auto" w:after="60"/>
        <w:jc w:val="left"/>
      </w:pPr>
      <w:r>
        <w:rPr>
          <w:i/>
        </w:rPr>
        <w:t>RA Dr. Jonas Reuß, 07.06.2025</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Klotzkette Rechtsanwaltsgesellschaft mbH | Arbeitsrechtliche Mandatsakte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