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Zeugen- und Beweismittelliste</w:t>
      </w:r>
    </w:p>
    <w:p>
      <w:pPr>
        <w:spacing w:line="259" w:lineRule="auto" w:after="60"/>
        <w:jc w:val="left"/>
      </w:pPr>
      <w:r>
        <w:t>Internes Aktenstück. Stand: 07.06.2025. RA Dr. Jonas Reuß.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Zeugen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Sabine Trzebinski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Funktion: Betriebsratsvorsitzende, Werk Eberswalde</w:t>
      </w:r>
    </w:p>
    <w:p>
      <w:pPr>
        <w:spacing w:line="259" w:lineRule="auto" w:after="60"/>
        <w:jc w:val="left"/>
      </w:pPr>
      <w:r>
        <w:t>Anschrift: über Betriebsrat Steinhoff Präzisionsguss SE, Am Industriepark 1, 16225 Eberswalde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Themen:</w:t>
      </w:r>
    </w:p>
    <w:p>
      <w:pPr>
        <w:pStyle w:val="ListBullet"/>
        <w:spacing w:line="259" w:lineRule="auto" w:after="60"/>
      </w:pPr>
      <w:r>
        <w:t>BR-Sitzung 20.05.2025: Anwesenheitsliste, Abstimmungsergebnis, Nichtladung Ersatzmitglied (Aktenstücke 10, 11)</w:t>
      </w:r>
    </w:p>
    <w:p>
      <w:pPr>
        <w:pStyle w:val="ListBullet"/>
        <w:spacing w:line="259" w:lineRule="auto" w:after="60"/>
      </w:pPr>
      <w:r>
        <w:t>Konsultationsverfahren nach § 17 Abs. 2 KSchG: Inhalt des Unterrichtungsschreibens, Qualität der Beratung (Aktenstück 15)</w:t>
      </w:r>
    </w:p>
    <w:p>
      <w:pPr>
        <w:pStyle w:val="ListBullet"/>
        <w:spacing w:line="259" w:lineRule="auto" w:after="60"/>
      </w:pPr>
      <w:r>
        <w:t>BEM-Fehlen: ob Körbers Anfrage dem BR bekannt war und ob der BR in ein BEM-Verfahren einbezogen worden ist (Aktenstück 12)</w:t>
      </w:r>
    </w:p>
    <w:p>
      <w:pPr>
        <w:pStyle w:val="ListBullet"/>
        <w:spacing w:line="259" w:lineRule="auto" w:after="60"/>
      </w:pPr>
      <w:r>
        <w:t>Äußerungen von Branitz gegenüber dem Betriebsrat zum Kündigungsgrund</w:t>
      </w:r>
    </w:p>
    <w:p>
      <w:pPr>
        <w:spacing w:line="259" w:lineRule="auto" w:after="60"/>
        <w:jc w:val="left"/>
      </w:pPr>
      <w:r>
        <w:t>Verfügbarkeit: Trzebinski ist als Betriebsratsmitglied weiterhin im Betrieb bis 31.12.2025 tätig; erreichbar über Betriebsratsbüro.</w:t>
      </w:r>
    </w:p>
    <w:p>
      <w:pPr>
        <w:spacing w:line="259" w:lineRule="auto" w:after="60"/>
        <w:jc w:val="left"/>
      </w:pPr>
      <w:r>
        <w:t>Risiken: Trzebinski könnte Druck aus Richtung Arbeitgeber erfahren; Verteilung zw. persönlichem Interesse (eigene Kündigung?) und Aussagebereitschaft im Körber-Verfahren unklar.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Dr. med. Corinna Jäkel</w:t>
      </w:r>
    </w:p>
    <w:p>
      <w:pPr>
        <w:spacing w:line="259" w:lineRule="auto" w:after="60"/>
        <w:jc w:val="left"/>
      </w:pPr>
      <w:r>
        <w:t>Funktion: Fachärztin für Psychiatrie und Psychotherapie, behandelnde Ärztin Körbers</w:t>
      </w:r>
    </w:p>
    <w:p>
      <w:pPr>
        <w:spacing w:line="259" w:lineRule="auto" w:after="60"/>
        <w:jc w:val="left"/>
      </w:pPr>
      <w:r>
        <w:t>Anschrift: Praxis Dr. Jäkel, Heinersdorfer Straße 12, 16225 Eberswalde (Adresse aus AU-Bescheinigungen)</w:t>
      </w:r>
    </w:p>
    <w:p>
      <w:pPr>
        <w:spacing w:line="259" w:lineRule="auto" w:after="60"/>
        <w:jc w:val="left"/>
      </w:pPr>
      <w:r>
        <w:t>Themen:</w:t>
      </w:r>
    </w:p>
    <w:p>
      <w:pPr>
        <w:pStyle w:val="ListBullet"/>
        <w:spacing w:line="259" w:lineRule="auto" w:after="60"/>
      </w:pPr>
      <w:r>
        <w:t>Gesundheitsprognose (positive Prognose widerlegt negative Prognose der Kündigung)</w:t>
      </w:r>
    </w:p>
    <w:p>
      <w:pPr>
        <w:pStyle w:val="ListBullet"/>
        <w:spacing w:line="259" w:lineRule="auto" w:after="60"/>
      </w:pPr>
      <w:r>
        <w:t>Körbers Berichte über die Kemnitz-Gespräche (Belastungsfaktor, mögliche Kausalität zur psychischen Erkrankung)</w:t>
      </w:r>
    </w:p>
    <w:p>
      <w:pPr>
        <w:pStyle w:val="ListBullet"/>
        <w:spacing w:line="259" w:lineRule="auto" w:after="60"/>
      </w:pPr>
      <w:r>
        <w:t>Verlauf und Prognose der depressiven Erkrankung</w:t>
      </w:r>
    </w:p>
    <w:p>
      <w:pPr>
        <w:spacing w:line="259" w:lineRule="auto" w:after="60"/>
        <w:jc w:val="left"/>
      </w:pPr>
      <w:r>
        <w:t>Verfügbarkeit: Ärztliche Schweigepflicht; Entbindungserklärung durch Körber erforderlich. Körber ist bereit, die Schweigepflicht zu entbinden. Vorankündigung an Jäkel läuft.</w:t>
      </w:r>
    </w:p>
    <w:p>
      <w:pPr>
        <w:spacing w:line="259" w:lineRule="auto" w:after="60"/>
        <w:jc w:val="left"/>
      </w:pPr>
      <w:r>
        <w:t>Risiken: Therapeutin wird möglicherweise zu allgemeinen Angaben bereit sein, aber keine spezifischen Diagnoseangaben ohne schriftliche Entbindung machen. Entbindungserklärung bis Klageeinreichung sicherstellen.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Cornelia Dratwa</w:t>
      </w:r>
    </w:p>
    <w:p>
      <w:pPr>
        <w:spacing w:line="259" w:lineRule="auto" w:after="60"/>
        <w:jc w:val="left"/>
      </w:pPr>
      <w:r>
        <w:t>Funktion: Ehemalige Mitarbeiterin Rechnungswesen Steinhoff SE, Eberswalde (bis ca. Ende 2023 ausgeschieden); aktuell bei einem Wettbewerber</w:t>
      </w:r>
    </w:p>
    <w:p>
      <w:pPr>
        <w:spacing w:line="259" w:lineRule="auto" w:after="60"/>
        <w:jc w:val="left"/>
      </w:pPr>
      <w:r>
        <w:t>Anschrift: unbekannt (zu ermitteln über LinkedIn-Suche oder früheres Kollegennetzwerk von Körber)</w:t>
      </w:r>
    </w:p>
    <w:p>
      <w:pPr>
        <w:spacing w:line="259" w:lineRule="auto" w:after="60"/>
        <w:jc w:val="left"/>
      </w:pPr>
      <w:r>
        <w:t>Themen:</w:t>
      </w:r>
    </w:p>
    <w:p>
      <w:pPr>
        <w:pStyle w:val="ListBullet"/>
        <w:spacing w:line="259" w:lineRule="auto" w:after="60"/>
      </w:pPr>
      <w:r>
        <w:t>Vergütung Bernd Wolters während seiner Werkleitungszeit (Aktenstücke 13, 14)</w:t>
      </w:r>
    </w:p>
    <w:p>
      <w:pPr>
        <w:pStyle w:val="ListBullet"/>
        <w:spacing w:line="259" w:lineRule="auto" w:after="60"/>
      </w:pPr>
      <w:r>
        <w:t>Kenntnisse über Verrechnungspreisabsprachen (ggf. für HinSchG-Parallelstrang relevant)</w:t>
      </w:r>
    </w:p>
    <w:p>
      <w:pPr>
        <w:spacing w:line="259" w:lineRule="auto" w:after="60"/>
        <w:jc w:val="left"/>
      </w:pPr>
      <w:r>
        <w:t>Verfügbarkeit: Unbekannt. Körber hat Dratwa zuletzt im Oktober 2023 gesprochen. Kontaktdaten sind über berufliche Netzwerke zu recherchieren. Risiko: Dratwa könnte nicht aussagen wollen, da sie ihrerseits Stillschweige-Verpflichtungen aus dem Ausscheidensvertrag haben könnte.</w:t>
      </w:r>
    </w:p>
    <w:p>
      <w:pPr>
        <w:spacing w:line="259" w:lineRule="auto" w:after="60"/>
        <w:jc w:val="left"/>
      </w:pPr>
      <w:r>
        <w:t>Risiken: Zeuge ohne direkt zugängliche Adresse; Ermittlung erforderlich.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Reinhold Panter</w:t>
      </w:r>
    </w:p>
    <w:p>
      <w:pPr>
        <w:spacing w:line="259" w:lineRule="auto" w:after="60"/>
        <w:jc w:val="left"/>
      </w:pPr>
      <w:r>
        <w:t>Funktion: Betriebsratsmitglied, Werk Eberswalde</w:t>
      </w:r>
    </w:p>
    <w:p>
      <w:pPr>
        <w:spacing w:line="259" w:lineRule="auto" w:after="60"/>
        <w:jc w:val="left"/>
      </w:pPr>
      <w:r>
        <w:t>Anschrift: über Betriebsrat (wie Trzebinski)</w:t>
      </w:r>
    </w:p>
    <w:p>
      <w:pPr>
        <w:spacing w:line="259" w:lineRule="auto" w:after="60"/>
        <w:jc w:val="left"/>
      </w:pPr>
      <w:r>
        <w:t>Themen:</w:t>
      </w:r>
    </w:p>
    <w:p>
      <w:pPr>
        <w:pStyle w:val="ListBullet"/>
        <w:spacing w:line="259" w:lineRule="auto" w:after="60"/>
      </w:pPr>
      <w:r>
        <w:t>Aussage im BR-Sitzungsprotokoll, dass HR das BEM-Anliegen von Körper „abgewimmelt" habe</w:t>
      </w:r>
    </w:p>
    <w:p>
      <w:pPr>
        <w:pStyle w:val="ListBullet"/>
        <w:spacing w:line="259" w:lineRule="auto" w:after="60"/>
      </w:pPr>
      <w:r>
        <w:t>Eigene Wahrnehmungen des Umgangs mit Körber in der zweiten Jahreshälfte 2024</w:t>
      </w:r>
    </w:p>
    <w:p>
      <w:pPr>
        <w:spacing w:line="259" w:lineRule="auto" w:after="60"/>
        <w:jc w:val="left"/>
      </w:pPr>
      <w:r>
        <w:t>Verfügbarkeit: Im Betrieb tätig; Bereitschaft zur Aussage offen.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Frank Imholz / Till Weigand (ggf. als Zeugen für Sozialauswahl)</w:t>
      </w:r>
    </w:p>
    <w:p>
      <w:pPr>
        <w:spacing w:line="259" w:lineRule="auto" w:after="60"/>
        <w:jc w:val="left"/>
      </w:pPr>
      <w:r>
        <w:t>Funktion: Werkleiter Salzgitter (Imholz) und Werkleiter Bautzen (Weigand)</w:t>
      </w:r>
    </w:p>
    <w:p>
      <w:pPr>
        <w:spacing w:line="259" w:lineRule="auto" w:after="60"/>
        <w:jc w:val="left"/>
      </w:pPr>
      <w:r>
        <w:t>Anschrift: über Steinhoff Präzisionsguss SE (respektive Werke)</w:t>
      </w:r>
    </w:p>
    <w:p>
      <w:pPr>
        <w:spacing w:line="259" w:lineRule="auto" w:after="60"/>
        <w:jc w:val="left"/>
      </w:pPr>
      <w:r>
        <w:t>Themen:</w:t>
      </w:r>
    </w:p>
    <w:p>
      <w:pPr>
        <w:pStyle w:val="ListBullet"/>
        <w:spacing w:line="259" w:lineRule="auto" w:after="60"/>
      </w:pPr>
      <w:r>
        <w:t>Vergleichbarkeit der Werkleiterfunktionen für die Sozialauswahl</w:t>
      </w:r>
    </w:p>
    <w:p>
      <w:pPr>
        <w:pStyle w:val="ListBullet"/>
        <w:spacing w:line="259" w:lineRule="auto" w:after="60"/>
      </w:pPr>
      <w:r>
        <w:t>Vergütungsstruktur (ggf. für Equal-Pay-Anspruch relevant)</w:t>
      </w:r>
    </w:p>
    <w:p>
      <w:pPr>
        <w:spacing w:line="259" w:lineRule="auto" w:after="60"/>
        <w:jc w:val="left"/>
      </w:pPr>
      <w:r>
        <w:t>Verfügbarkeit: Beide sind noch im Arbeitsverhältnis mit der Beklagten; Aussagebereitschaft fraglich. Als Zeugen auf Antrag; ggf. Antrag auf Urkundenvorlage (§ 142 ZPO) zielführender.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Urkundliche Beweismittel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Arbeitsvertrag 28.02.2012 + Nachträge I, II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bei Akte (Kopie), Scan bei Kanzlei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Gesprächsnotizen Körber zu Kemnitz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Handschriftliche Originale Körber; Abschrift in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Körber an Branitz 29.07.2024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Screenshot bei Körber; Ausdruck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Branitz an Körber 05.08.2024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Screenshot bei Körber; Ausdruck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E-Mail-Korrespondenz Branitz 28.04.–23.05.2025 (6 E-Mails)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Screenshots; Ausdrucke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Aufhebungsvertragsentwurf (undatiert, April 2025)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(nicht unterzeichnet) bei Körber; Kopie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Anhörungsschreiben GF an BR 19.05.2025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 über Trzebinski;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BR-Sitzungsprotokoll 20.05.2025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 über Trzebinski;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BR-Widerspruchsschreiben 22.05.2025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Kopie; Original beim BR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AU-Bescheinigungen (5 AU-Phasen)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Originale bei Körper; Kopien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EntgTranspG-Anfrage Körber 04.03.2024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E-Mail-Screenshot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 Branitz auf EntgTranspG 14.06.2024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E-Mail-Screenshot; Ausdruck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Stellenbeschreibungen Werkleiter Eberswalde 2015 und 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Kopien aus internen Unterlagen Körbers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Kündigungsschreiben 22.05.2025 (Original)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bei Körper; Kopie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EthicsHub-Eingangsbestätigung (Screenshot)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Screenshot bei Körber; Kopie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Ergänzungsvereinbarung Senior Advisor + Verlängerungen I und II (schriftlich)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03, 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Kopien bei Körber; Scans bei Akte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Zu beantragender Urkundenvorlage nach § 142 ZPO (Gegner)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Massenentlassungsanzeige bei Agentur für Arbeit inkl. Eingangsbestätigung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142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Klärung ob Kündigung vor Anzeige ausgesprochen wurde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Unterlagen zur Vergütung Bernd Wolters 2015–2021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142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Grundlage Equal-Pay-Anspruch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Unterrichtungsschreiben an BR nach § 17 Abs. 2 KSchG 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142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Konsultationsfehlern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Vergleichsgruppe (6 Personen) der EntgTranspG-Auskunft 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142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Auskunft-Vollständigkeit und Diskriminierung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EthicsHub-Systemprotokoll (Zugangslogs, Metadaten)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142 ZPO, ggf. DSB-Auskunft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Frage der internen Reidentifizierung des anonymen Hinweises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Sonstige Sicherungsmaßnahmen</w:t>
      </w:r>
    </w:p>
    <w:p>
      <w:pPr>
        <w:pStyle w:val="ListBullet"/>
        <w:spacing w:line="259" w:lineRule="auto" w:after="60"/>
      </w:pPr>
      <w:r>
        <w:t>Sicherung der eigenen E-Mail-Korrespondenz durch Körber: Anweisung, alle Dienstmails vor IT-Abschaltung 22.05.2025 privat gesichert zu haben. Körber gibt an, Screenshots gemacht zu haben; ob vollständig, ist zu prüfen.</w:t>
      </w:r>
    </w:p>
    <w:p>
      <w:pPr>
        <w:pStyle w:val="ListBullet"/>
        <w:spacing w:line="259" w:lineRule="auto" w:after="60"/>
      </w:pPr>
      <w:r>
        <w:t>Körber soll ihre handschriftlichen Notizhefte (Kemnitz-Gespräche) in einem Safe oder bei einer Vertrauensperson aufbewahren.</w:t>
      </w:r>
    </w:p>
    <w:p>
      <w:pPr>
        <w:pStyle w:val="ListBullet"/>
        <w:spacing w:line="259" w:lineRule="auto" w:after="60"/>
      </w:pPr>
      <w:r>
        <w:t>HR-Leiter Branitz und Dr. Kemnitz als potenzielle Parteizeugen (§ 447 ZPO) benennen, falls keine Bereitschaft zur Aussage besteht.</w:t>
      </w:r>
    </w:p>
    <w:p>
      <w:pPr>
        <w:spacing w:line="259" w:lineRule="auto" w:after="60"/>
        <w:jc w:val="left"/>
      </w:pPr>
      <w:r>
        <w:rPr>
          <w:i/>
        </w:rPr>
        <w:t>RA Dr. Jonas Reuß, 07.06.2025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Klotzkette Rechtsanwaltsgesellschaft mbH | Arbeitsrechtliche Mandatsakte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