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Personalliste – Stand 30.04.2026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Eintritt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Bruttogehalt/Monat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Friedrich Korbach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14.03.2008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6.800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Anouk Liesen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Geschäftsführerin / Vertrieb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01.07.2019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Mathis Geffert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Werkstattleiter (Meister)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4.620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Joran Klüver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Tischlermeister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4.180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Frederik Sander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15.01.2017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3.520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 Pohlenz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Gesellin (Furnier)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3.480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Lasse Driessen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03.09.2019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Yannik Brohmer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01.02.2020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3.310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Annika Vorbeck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Gesellin (CNC)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01.08.2020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3.480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Tim Lehrgut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01.10.2020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Henrik Olbricht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15.03.2021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3.260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Mateusz Wojcik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01.06.2021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Petra Sahin-Becker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01.04.2012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Imke Zellner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Auftragsabwicklung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01.10.2017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Cem Yildiz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GF-Assistenz / Einkauf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Ronja Beilfuß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Gesellin (Oberfläche)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01.05.2023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Niklas Stachowiak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3.020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Jonna Riemer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Lehrling 3. Lehrjahr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Bilal Erdem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Lehrling 2. Lehrjahr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Pia Holzmann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Lehrling 1. Lehrjahr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880 EUR</w:t>
            </w:r>
          </w:p>
        </w:tc>
      </w:tr>
    </w:tbl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Summe Brutto monatlich:</w:t>
      </w:r>
      <w:r>
        <w:rPr>
          <w:rFonts w:ascii="Times New Roman" w:hAnsi="Times New Roman"/>
          <w:b/>
          <w:sz w:val="22"/>
        </w:rPr>
        <w:t xml:space="preserve"> 63.210 EUR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Arbeitgeberanteil SV (ca. 20,3 %):</w:t>
      </w:r>
      <w:r>
        <w:rPr>
          <w:rFonts w:ascii="Times New Roman" w:hAnsi="Times New Roman"/>
          <w:b/>
          <w:sz w:val="22"/>
        </w:rPr>
        <w:t xml:space="preserve"> 12.832 EUR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Personalkosten gesamt monatlich:</w:t>
      </w:r>
      <w:r>
        <w:rPr>
          <w:rFonts w:ascii="Times New Roman" w:hAnsi="Times New Roman"/>
          <w:b/>
          <w:sz w:val="22"/>
        </w:rPr>
        <w:t xml:space="preserve"> ca. </w:t>
      </w:r>
      <w:r>
        <w:rPr>
          <w:rFonts w:ascii="Times New Roman" w:hAnsi="Times New Roman"/>
          <w:b/>
          <w:sz w:val="22"/>
        </w:rPr>
        <w:t>76.040 EUR</w:t>
      </w:r>
      <w:r>
        <w:rPr>
          <w:rFonts w:ascii="Times New Roman" w:hAnsi="Times New Roman"/>
          <w:b/>
          <w:sz w:val="22"/>
        </w:rPr>
        <w:t xml:space="preserve"> (zzgl. BG, U1/U2/U3)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Jahres-Lohnsumme (12 Monate):</w:t>
      </w:r>
      <w:r>
        <w:rPr>
          <w:rFonts w:ascii="Times New Roman" w:hAnsi="Times New Roman"/>
          <w:b/>
          <w:sz w:val="22"/>
        </w:rPr>
        <w:t xml:space="preserve"> ca. 912.480 EUR</w:t>
      </w:r>
    </w:p>
    <w:p>
      <w:pPr>
        <w:spacing w:line="259" w:lineRule="auto" w:after="60"/>
        <w:jc w:val="left"/>
      </w:pPr>
      <w:r>
        <w:rPr>
          <w:b/>
        </w:rPr>
        <w:t>Personalaufwand inkl. AG-Anteil 13 Monate (Urlaubsgeld) und Sondervergütungen:</w:t>
      </w:r>
      <w:r>
        <w:t xml:space="preserve"> ca. 1.020 TEUR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Hinweise</w:t>
      </w:r>
    </w:p>
    <w:p>
      <w:pPr>
        <w:pStyle w:val="ListBullet"/>
        <w:spacing w:line="259" w:lineRule="auto" w:after="60"/>
      </w:pPr>
      <w:r>
        <w:t xml:space="preserve">Sozialversicherungsbeiträge </w:t>
      </w:r>
      <w:r>
        <w:rPr>
          <w:b/>
        </w:rPr>
        <w:t>März 2026 (33 TEUR)</w:t>
      </w:r>
      <w:r>
        <w:t xml:space="preserve"> und </w:t>
      </w:r>
      <w:r>
        <w:rPr>
          <w:b/>
        </w:rPr>
        <w:t>April 2026 (32 TEUR)</w:t>
      </w:r>
      <w:r>
        <w:t xml:space="preserve"> offen.</w:t>
      </w:r>
    </w:p>
    <w:p>
      <w:pPr>
        <w:spacing w:line="259" w:lineRule="auto" w:after="60"/>
        <w:jc w:val="left"/>
      </w:pPr>
      <w:r>
        <w:t>Lastschrift März wurde am 27.03.2026 mangels Deckung zurückgegeben (siehe Bankauszug</w:t>
      </w:r>
    </w:p>
    <w:p>
      <w:pPr>
        <w:spacing w:line="259" w:lineRule="auto" w:after="60"/>
        <w:jc w:val="left"/>
      </w:pPr>
      <w:r>
        <w:t>Berliner Sparkasse, Buchung Z-280).</w:t>
      </w:r>
    </w:p>
    <w:p>
      <w:pPr>
        <w:pStyle w:val="ListBullet"/>
        <w:spacing w:line="259" w:lineRule="auto" w:after="60"/>
      </w:pPr>
      <w:r>
        <w:t>Lohnsteuer April 2026 (Fälligkeit 12.05.2026) wurde fristgerecht abgeführt, aber</w:t>
      </w:r>
    </w:p>
    <w:p>
      <w:pPr>
        <w:spacing w:line="259" w:lineRule="auto" w:after="60"/>
        <w:jc w:val="left"/>
      </w:pPr>
      <w:r>
        <w:t>Krankenkassen-Beiträge nicht.</w:t>
      </w:r>
    </w:p>
    <w:p>
      <w:pPr>
        <w:pStyle w:val="ListBullet"/>
        <w:spacing w:line="259" w:lineRule="auto" w:after="60"/>
      </w:pPr>
      <w:r>
        <w:t>Tarifgehalt bzw. ortsüblich, keine Tarifbindung (haustariflich angelehnt an</w:t>
      </w:r>
    </w:p>
    <w:p>
      <w:pPr>
        <w:spacing w:line="259" w:lineRule="auto" w:after="60"/>
        <w:jc w:val="left"/>
      </w:pPr>
      <w:r>
        <w:t>Tischlerhandwerk Berlin).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