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Vorschau: bwa_jan-apr_2026</w:t>
      </w:r>
    </w:p>
    <w:p>
      <w:pPr>
        <w:spacing w:line="259" w:lineRule="auto" w:after="60"/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Sheet: BWA_2026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Edelholz Manufaktur Berlin GmbH</w:t>
      </w:r>
    </w:p>
    <w:p>
      <w:pPr>
        <w:spacing w:line="259" w:lineRule="auto" w:after="60"/>
        <w:jc w:val="left"/>
      </w:pPr>
      <w:r>
        <w:t>_Betriebswirtschaftliche Auswertung (kurz, eigene Kontenstruktur) – Januar bis April 2026_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_Steuerberater: Falkenrieth &amp; Partner StB-Gesellschaft, Berlin-Mitte_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Jan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Feb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Mrz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Apr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Kumuliert 1–4/2026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Umsatzerlöse Eigenleistung Möbel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142.800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158.400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174.200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182.600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Umsatzerlöse Anzahlungen verrechnet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20.500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Sonstige betriebliche Erträge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1.900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Bestandsveränderung unfertige Erzeugnisse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-8.400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-6.800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12.400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Aktivierte Eigenleistungen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Gesamtleistung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Materialaufwand Holz/Furnier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48.600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52.400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56.200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Materialaufwand Beschläge/Lack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24.600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Fremdleistungen Lohnfertigung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12.600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Materialaufwand gesamt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Rohertrag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Personalkosten Löhne und Gehälter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63.200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63.400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63.800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Personalkosten AG-Anteil SV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12.830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12.750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12.880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12.950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Personalkosten Sonstiges (BG, U1/U2/U3)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Personalaufwand gesamt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Raumkosten (Miete+NK)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Energie/Heizung/Strom/Wasser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9.420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9.300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9.240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Leasing (CNC+Säge+Stapler)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8.640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8.640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8.640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8.640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Wartung/Reparatur Maschinen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Versicherungen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KFZ-Kosten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1.940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Werbung/Marketing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Beratungskosten (StB+Anwalt)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Verwaltung/Bürobedarf/EDV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1.480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1.320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1.420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Sonstige betriebliche Aufwendungen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3.240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2.860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3.820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Sonstige Betriebskosten gesamt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Betriebsergebnis (EBITDA-nah)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Abschreibungen Sachanlagen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3.820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3.820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3.820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3.820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Zinsaufwand Bankkredite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Zinsaufwand Kontokorrent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1.040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Zinsaufwand Gesellschafterdarlehen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204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Außerordentliche Aufwendungen (Reparaturen Bugwelle)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Vorläufiges Ergebnis vor Steuern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Kommentar Steuerberater: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Rohertragsquote sinkt von 51 % (Jan) auf 47 % (Apr) – Margendruck Energie + Materialpreise.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Personalaufwand stabil ca. 77,8 TEUR/Monat; Reparaturkosten April 28 TEUR (CNC-Antrieb).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KK-Zinsaufwand verdreifacht sich (Jan 340 EUR → Apr 1.040 EUR) – Auslastungssprung KK-Linie.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Kumuliertes Ergebnis vor Steuern: stark negativ – Indiz Krisenstadium nach IDW S 6 Tz. 5.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Hinweis nach § 102 StaRUG: Anhaltspunkte für (drohende) Zahlungsunfähigkeit/Überschuldung.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