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Bankauszüge – Auszug Februar bis April 2026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Beide Konten, jeweils Auszug der Kernbewegungen. Salden gerundet, Kennzeichen</w:t>
      </w:r>
    </w:p>
    <w:p>
      <w:pPr>
        <w:spacing w:line="259" w:lineRule="auto" w:after="60"/>
        <w:ind w:left="567"/>
      </w:pPr>
      <w:r>
        <w:rPr>
          <w:i/>
        </w:rPr>
        <w:t>Z- = Zahlungsausgang, E- = Eingang, K-= sonstige.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Berliner Sparkasse – Geschäftskonto (IBAN DE12 1005 0000 0190 4738 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Verwendungszweck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nach Buchung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Eröffnung 01.02.2026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+ 24.860,12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E-104 Privat Lehnert RE-2026-0034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30.700,12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Z-201 Stromnetz Berlin Strom Jan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25.060,12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Z-208 Finanzamt USt-Sondervorauszahlung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−14.500,00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10.560,12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Z-209 USt-VZ 12/2025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E-112 Senatsverwaltung Bildung Teilrechnung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+24.300,00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Z-214 Allianz Berufshaftpflicht Q1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−2.480,00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22.540,12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Z-228 TK Krankenkasse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−13.200,00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9.340,12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Z-229 AOK Berlin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Z-230 Barmer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−6.400,00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−6.940,88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Z-231 BKK VBU SV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−10.040,88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E-118 Lützowufer Anzahlung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+28.000,00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17.959,12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Z-235 Lohnauszahlung Feb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−52.640,00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−34.680,88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K-001 Übertrag von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+35.000,00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28.02.2026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+319,12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Z-237 Miete Köpenicker Str.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−9.520,88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K-002 Übertrag von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+15.000,00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5.479,12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Z-244 USt-VZ 01/2026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−11.220,00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−5.740,88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K-003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+12.000,00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6.259,12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E-122 Privat Bach/Wieland RE-2026-0094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+12.480,00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18.739,12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E-123 Hotel Lützowufer RE-2026-0084 Anzahlung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+20.500,00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39.239,12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Z-251 SCM CNC-Leasing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−4.180,00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35.059,12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Z-280 LASTSCHRIFTRÜCKGABE TK SV 03/2026 mangels Deckung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(Re-Buchung)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Z-281 Lohnauszahlung März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−52.180,00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−17.120,88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K-004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+20.000,00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2.879,12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Z-285 Sparkasse Tilgung Investkredit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−300,88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31.03.2026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−300,88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Z-301 Miete Köpenicker Str.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−10.140,88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K-005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+12.000,00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Z-308 Vattenfall Wärme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−3.240,00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−1.380,88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E-132 Senatsverwaltung Schlusszahlung Teilbetrag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+18.000,00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16.619,12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Z-316 USt-VZ 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−12.620,00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3.999,12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Z-317 Lohnsteuer 03/2026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−11.180,00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−7.180,88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K-006 Übertrag KK-Linie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+20.000,00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12.819,12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Z-320 SCM Service Wartung CNC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−4.180,00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8.639,12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Z-321 Holzma Plattensäge Leasing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5.999,12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E-141 Cafe Lichtfels RE-2026-0103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+5.860,00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11.859,12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E-145 Anwaltskanzlei Bredow RE-2026-0108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+14.620,00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26.479,12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Z-340 Allianz 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−1.860,00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24.619,12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Z-345 Lohnauszahlung April (Netto)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−52.780,00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−28.160,88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K-007 Übertrag KK-Linie (Auslastung Ende)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+44.000,00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15.839,12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Z-352 Sparkasse Tilgung Investkredit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−3.180,00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12.659,12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Z-353 Sparkasse KK-Zinsen Q1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−2.940,00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9.719,12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E-150 Privat Görlitz/Aydin RE-2026-0115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+9.420,00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19.139,12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30.04.2026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+19.139,12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Mittelbrandenburgische Sparkasse – Kontokorrent (IBAN DE74 1605 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Inanspruchnahme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Verfügbar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102.700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82.300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67.700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114.300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35.700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138.400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11.600</w:t>
            </w:r>
          </w:p>
        </w:tc>
      </w:tr>
    </w:tbl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Aggregierter Liquiditätsstand 30.04.2026</w:t>
      </w:r>
      <w:r>
        <w:rPr>
          <w:rFonts w:ascii="Times New Roman" w:hAnsi="Times New Roman"/>
          <w:b/>
          <w:sz w:val="22"/>
        </w:rPr>
        <w:t>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Bankguthaben Berliner Sparkasse: 19.139 EUR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Verfügbarer Kontokorrent-Rest: 11.600 EUR</w:t>
      </w:r>
    </w:p>
    <w:p>
      <w:pPr>
        <w:pStyle w:val="ListBullet"/>
        <w:spacing w:line="259" w:lineRule="auto" w:after="60"/>
      </w:pPr>
      <w:r>
        <w:rPr>
          <w:b/>
        </w:rPr>
        <w:t>Liquidität gesamt: 30.739 EUR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Schreiben Mittelbrandenburgische Sparkasse 22.04.2026 (auszugsweise)</w:t>
      </w:r>
    </w:p>
    <w:p>
      <w:pPr>
        <w:spacing w:line="259" w:lineRule="auto" w:after="60"/>
        <w:ind w:left="567"/>
      </w:pPr>
      <w:r>
        <w:rPr>
          <w:i/>
        </w:rPr>
        <w:t>"… teilen wir Ihnen mit, dass wir die Ihnen eingeräumte Kontokorrentlinie über</w:t>
      </w:r>
    </w:p>
    <w:p>
      <w:pPr>
        <w:spacing w:line="259" w:lineRule="auto" w:after="60"/>
        <w:ind w:left="567"/>
      </w:pPr>
      <w:r>
        <w:rPr>
          <w:i/>
        </w:rPr>
        <w:t>150.000 EUR mit Wirkung zum 01.01.2027 auf 80.000 EUR reduzieren werden. Die</w:t>
      </w:r>
    </w:p>
    <w:p>
      <w:pPr>
        <w:spacing w:line="259" w:lineRule="auto" w:after="60"/>
        <w:ind w:left="567"/>
      </w:pPr>
      <w:r>
        <w:rPr>
          <w:i/>
        </w:rPr>
        <w:t>Vereinbarung über den Eigenkapital-Covenant von 10 % wurde im Geschäftsjahr</w:t>
      </w:r>
    </w:p>
    <w:p>
      <w:pPr>
        <w:spacing w:line="259" w:lineRule="auto" w:after="60"/>
        <w:ind w:left="567"/>
      </w:pPr>
      <w:r>
        <w:rPr>
          <w:i/>
        </w:rPr>
        <w:t>2025 nicht eingehalten. Wir bitten um Vorlage eines aktuellen Sanierungs-</w:t>
      </w:r>
    </w:p>
    <w:p>
      <w:pPr>
        <w:spacing w:line="259" w:lineRule="auto" w:after="60"/>
        <w:ind w:left="567"/>
      </w:pPr>
      <w:r>
        <w:rPr>
          <w:i/>
        </w:rPr>
        <w:t>bzw. Restrukturierungskonzepts bis spätestens 30.06.2026."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