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60" w:line="259" w:lineRule="auto"/>
      </w:pPr>
      <w:r>
        <w:rPr>
          <w:rFonts w:ascii="Times New Roman" w:hAnsi="Times New Roman"/>
          <w:b/>
          <w:sz w:val="28"/>
        </w:rPr>
        <w:t>Steuern und Sozialversicherung – Lage 30.04.2026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Finanzamt Berlin-Friedrichshain-Kreuzberg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Position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Fälligkeit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März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03/2026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14.200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abgegeben, gezahlt 12.05. (Dauerfristverlängerung)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16.840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 xml:space="preserve">abgegeben, </w:t>
            </w:r>
            <w:r>
              <w:rPr>
                <w:rFonts w:ascii="Times New Roman" w:hAnsi="Times New Roman"/>
                <w:b/>
                <w:sz w:val="20"/>
              </w:rPr>
              <w:t>nicht 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10.06.2026 (m. Dauerfrist)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USt-Vorauszahlung Februar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12.620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10.04.2026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Lohnsteuer/SolZ/KiSt April 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04/2026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11.480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abgegeben, gezahlt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Körperschaftsteuer-VZ Q2/2026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2.250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10.06.2026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Gewerbesteuer-VZ Q2/2026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Q2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3.800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offen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15.05.2026 (Stadt Berlin)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Rückstand USt 2024</w:t>
            </w:r>
            <w:r>
              <w:rPr>
                <w:rFonts w:ascii="Times New Roman" w:hAnsi="Times New Roman"/>
                <w:sz w:val="20"/>
              </w:rPr>
              <w:t xml:space="preserve"> (Nachzahlung Bescheid)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b/>
                <w:sz w:val="20"/>
              </w:rPr>
              <w:t>7.430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gestundet bis 31.07.2026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  <w:tr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Mahnung FA vom 18.04.2026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2.940 EUR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wg. Säumniszuschlag KSt 2024</w:t>
            </w:r>
          </w:p>
        </w:tc>
        <w:tc>
          <w:tcPr>
            <w:tcW w:type="dxa" w:w="1814"/>
          </w:tcPr>
          <w:p>
            <w:r>
              <w:rPr>
                <w:rFonts w:ascii="Times New Roman" w:hAnsi="Times New Roman"/>
                <w:sz w:val="20"/>
              </w:rPr>
              <w:t>02.05.2026</w:t>
            </w:r>
          </w:p>
        </w:tc>
      </w:tr>
    </w:tbl>
    <w:p>
      <w:pPr>
        <w:spacing w:before="120" w:after="60" w:line="259" w:lineRule="auto"/>
        <w:jc w:val="left"/>
      </w:pPr>
      <w:r>
        <w:rPr>
          <w:rFonts w:ascii="Times New Roman" w:hAnsi="Times New Roman"/>
          <w:b/>
          <w:sz w:val="22"/>
        </w:rPr>
        <w:t>Dauerfristverlängerung nach § 46 UStDV ist gewährt; Sondervorauszahlung 1/11 der</w:t>
      </w:r>
    </w:p>
    <w:p>
      <w:pPr>
        <w:spacing w:line="259" w:lineRule="auto" w:after="60"/>
        <w:jc w:val="left"/>
      </w:pPr>
      <w:r>
        <w:t>USt-Zahllast 2025 = 14.500 EUR wurde am 09.02.2026 entrichtet.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Krankenkassen / Sozialversicherung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Anzahl 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Beitrag/Monat (ca.)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Lage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Techniker Krankenkasse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13.200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März +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AOK Berlin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9.880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März +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Barmer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6.400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April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BKK VBU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3.100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offen April</w:t>
            </w:r>
          </w:p>
        </w:tc>
      </w:tr>
    </w:tbl>
    <w:p>
      <w:pPr>
        <w:pStyle w:val="Heading3"/>
        <w:spacing w:before="120" w:after="60" w:line="259" w:lineRule="auto"/>
      </w:pPr>
      <w:r>
        <w:rPr>
          <w:rFonts w:ascii="Times New Roman" w:hAnsi="Times New Roman"/>
          <w:b/>
          <w:sz w:val="22"/>
        </w:rPr>
        <w:t>Detail Rückstände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Monat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SV gesamt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Februar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32.350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gezahlt 25.02.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März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33.180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Lastschrift zurück 27.03.2026</w:t>
            </w:r>
            <w:r>
              <w:rPr>
                <w:rFonts w:ascii="Times New Roman" w:hAnsi="Times New Roman"/>
                <w:sz w:val="20"/>
              </w:rPr>
              <w:t xml:space="preserve"> (Bank Z-280) – Säumniszuschlag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April 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32.580 EUR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 xml:space="preserve">nicht abgeführt; TK hat am 28.04.2026 </w:t>
            </w:r>
            <w:r>
              <w:rPr>
                <w:rFonts w:ascii="Times New Roman" w:hAnsi="Times New Roman"/>
                <w:b/>
                <w:sz w:val="20"/>
              </w:rPr>
              <w:t>2. Mahnung</w:t>
            </w:r>
            <w:r>
              <w:rPr>
                <w:rFonts w:ascii="Times New Roman" w:hAnsi="Times New Roman"/>
                <w:sz w:val="20"/>
              </w:rPr>
              <w:t xml:space="preserve"> geschickt</w:t>
            </w:r>
          </w:p>
        </w:tc>
      </w:tr>
    </w:tbl>
    <w:p>
      <w:pPr>
        <w:spacing w:line="259" w:lineRule="auto" w:after="60"/>
        <w:jc w:val="left"/>
      </w:pPr>
      <w:r>
        <w:rPr>
          <w:b/>
        </w:rPr>
        <w:t>SV-Rückstand gesamt per 30.04.2026: ca. 65.760 EUR</w:t>
      </w:r>
      <w:r>
        <w:t xml:space="preserve"> (zzgl. Säumniszuschläge).</w:t>
      </w:r>
    </w:p>
    <w:p>
      <w:pPr>
        <w:pStyle w:val="Heading2"/>
        <w:spacing w:before="120" w:after="60" w:line="259" w:lineRule="auto"/>
      </w:pPr>
      <w:r>
        <w:rPr>
          <w:rFonts w:ascii="Times New Roman" w:hAnsi="Times New Roman"/>
          <w:b/>
          <w:sz w:val="22"/>
        </w:rPr>
        <w:t>Berufsgenossenschaft</w:t>
      </w:r>
    </w:p>
    <w:p>
      <w:pPr>
        <w:pStyle w:val="ListBullet"/>
        <w:spacing w:line="259" w:lineRule="auto" w:after="60"/>
      </w:pPr>
      <w:r>
        <w:t>BG Holz und Metall, Jahresbeitrag 2026: 8.620 EUR, fällig 05.05.2026 (gestaffelt)</w:t>
      </w:r>
    </w:p>
    <w:p>
      <w:pPr>
        <w:pStyle w:val="Heading2"/>
        <w:spacing w:line="259" w:lineRule="auto" w:after="60"/>
      </w:pPr>
      <w:r>
        <w:rPr>
          <w:rFonts w:ascii="Times New Roman" w:hAnsi="Times New Roman"/>
        </w:rPr>
        <w:t>Hinweise</w:t>
      </w:r>
    </w:p>
    <w:p>
      <w:pPr>
        <w:pStyle w:val="ListBullet"/>
        <w:spacing w:line="259" w:lineRule="auto" w:after="60"/>
      </w:pPr>
      <w:r>
        <w:rPr>
          <w:b/>
        </w:rPr>
        <w:t>Schreiben TK vom 24.04.2026</w:t>
      </w:r>
      <w:r>
        <w:t>: Androhung Strafanzeige nach § 266a StGB bei Nichtzahlung</w:t>
      </w:r>
    </w:p>
    <w:p>
      <w:pPr>
        <w:spacing w:line="259" w:lineRule="auto" w:after="60"/>
        <w:jc w:val="left"/>
      </w:pPr>
      <w:r>
        <w:t>bis 15.05.2026 (für März 2026).</w:t>
      </w:r>
    </w:p>
    <w:p>
      <w:pPr>
        <w:pStyle w:val="ListBullet"/>
        <w:spacing w:line="259" w:lineRule="auto" w:after="60"/>
      </w:pPr>
      <w:r>
        <w:rPr>
          <w:b/>
        </w:rPr>
        <w:t>AOK Berlin Schreiben 28.04.2026</w:t>
      </w:r>
      <w:r>
        <w:t>: Vollstreckungsmaßnahmen angekündigt für 20.05.2026.</w:t>
      </w:r>
    </w:p>
    <w:p>
      <w:pPr>
        <w:pStyle w:val="ListBullet"/>
        <w:spacing w:line="259" w:lineRule="auto" w:after="60"/>
      </w:pPr>
      <w:r>
        <w:rPr>
          <w:b/>
        </w:rPr>
        <w:t>Finanzamt-Mahnung 18.04.2026</w:t>
      </w:r>
      <w:r>
        <w:t>: Säumniszuschlag KSt 2024 = starkes Insolvenzindiz</w:t>
      </w:r>
    </w:p>
    <w:p>
      <w:pPr>
        <w:spacing w:line="259" w:lineRule="auto" w:after="60"/>
        <w:jc w:val="left"/>
      </w:pPr>
      <w:r>
        <w:t>(BGH NJW 2007, 78 Rn. 18).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247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/>
    <w:r>
      <w:rPr>
        <w:rFonts w:ascii="Times New Roman" w:hAnsi="Times New Roman"/>
        <w:b w:val="0"/>
        <w:color w:val="777777"/>
        <w:sz w:val="17"/>
      </w:rPr>
      <w:t>Vertraulich | Bearbeitungsstand Juli 2026 | nur zur Aktenbearbeitung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 w:val="0"/>
        <w:i w:val="0"/>
        <w:color w:val="666666"/>
        <w:sz w:val="17"/>
      </w:rPr>
      <w:t>Lindenhof und Partner mbB | Insolvenz- und Restrukturierungsakte | Bearbeitungsstand Juli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