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Auftragsbestand – Stand 30.04.2026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Auftrag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Kunde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Volumen netto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Lieferung KW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Zahlungsziel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LZF-2025-08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145.000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 Fertigung 70 %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 netto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Abschlag 48.500 EUR brutto bereits gestellt RE-2026-0084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LZF-2025-08b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 (Suiten 4./5. OG)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32.300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Teilrechnung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RE-2026-0106 fällig 18.05., Eingang erst nach Lieferung erwartet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BR-2026-02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Anwaltskanzlei Bredow &amp; Kollegen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14.620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RE-2026-0108 in Zahlung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SVB-2026-01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Senatsverwaltung Bildung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60.500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 + Schlussrechnung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 Tage (öffentl. AG)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RE-2026-0098 + RE-2026-0113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PR-2026-09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Bach/Wieland (Einbauküche)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12.480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RE-2026-0094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Liebrecht (Esstisch)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6.890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RE-2026-0111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Görlitz/Aydin (Schrank)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9.420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RE-2026-0115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CFG-2026-03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Cafe Lichtfels (Theke)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5.860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RE-2026-0103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Hentschel/Vargas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7.240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BM-2026-02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Boutique Manufactum Mitte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9.870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RE-2026-0091 (Mahnung 1)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Pipeline (mündlich/Angebote)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Bauverein Mitteldeutschland eG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78.000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Angebot vom 12.04.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35 ff.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50 % Wahrscheinlichkeit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Stillberg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18.500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Angebot vom 22.04.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30 % Wahrscheinlichkeit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 (Folgeauftrag Lobby)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64.000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mündliche LOI 28.04.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38 ff.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abhängig von Lieferung LZF-2025-08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Auftragsbestand bestätigt (Wert noch nicht in Umsatz):</w:t>
      </w:r>
      <w:r>
        <w:t xml:space="preserve"> ca. 290 TEUR.</w:t>
      </w:r>
    </w:p>
    <w:p>
      <w:pPr>
        <w:spacing w:line="259" w:lineRule="auto" w:after="60"/>
        <w:jc w:val="left"/>
      </w:pPr>
      <w:r>
        <w:rPr>
          <w:b/>
        </w:rPr>
        <w:t>Pipeline gewichtet:</w:t>
      </w:r>
      <w:r>
        <w:t xml:space="preserve"> ca. 78 TEUR.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Risiken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Großauftrag LZF-2025-08</w:t>
      </w:r>
      <w:r>
        <w:rPr>
          <w:rFonts w:ascii="Times New Roman" w:hAnsi="Times New Roman"/>
          <w:b/>
          <w:sz w:val="22"/>
        </w:rPr>
        <w:t>: Lieferung KW 28 zwingend; ohne diesen Zahlungseingang</w:t>
      </w:r>
    </w:p>
    <w:p>
      <w:pPr>
        <w:spacing w:line="259" w:lineRule="auto" w:after="60"/>
        <w:jc w:val="left"/>
      </w:pPr>
      <w:r>
        <w:t>ab KW 32 keine Liquidität für SV-Beiträge ab Mai darstellbar.</w:t>
      </w:r>
    </w:p>
    <w:p>
      <w:pPr>
        <w:pStyle w:val="ListBullet"/>
        <w:spacing w:line="259" w:lineRule="auto" w:after="60"/>
      </w:pPr>
      <w:r>
        <w:rPr>
          <w:b/>
        </w:rPr>
        <w:t>CNC-Antriebsmotor defekt seit 25.04.2026</w:t>
      </w:r>
      <w:r>
        <w:t>: Reparatur 28 TEUR + 5–8 Tage Stillstand.</w:t>
      </w:r>
    </w:p>
    <w:p>
      <w:pPr>
        <w:spacing w:line="259" w:lineRule="auto" w:after="60"/>
        <w:jc w:val="left"/>
      </w:pPr>
      <w:r>
        <w:t>Notbetrieb über Tischler-Kollegen (Lohnfertigung 1.200 EUR/Tag); reduzierte Marge.</w:t>
      </w:r>
    </w:p>
    <w:p>
      <w:pPr>
        <w:pStyle w:val="ListBullet"/>
        <w:spacing w:line="259" w:lineRule="auto" w:after="60"/>
      </w:pPr>
      <w:r>
        <w:rPr>
          <w:b/>
        </w:rPr>
        <w:t>Forderungsausfall RE-2025-0421 (Bauträger Spreequartier)</w:t>
      </w:r>
      <w:r>
        <w:t>: 28,6 TEUR strittig wegen</w:t>
      </w:r>
    </w:p>
    <w:p>
      <w:pPr>
        <w:spacing w:line="259" w:lineRule="auto" w:after="60"/>
        <w:jc w:val="left"/>
      </w:pPr>
      <w:r>
        <w:t>Nachbesserung; Mahnverfahren droht durch uns; Bauträger steht selbst unter</w:t>
      </w:r>
    </w:p>
    <w:p>
      <w:pPr>
        <w:spacing w:line="259" w:lineRule="auto" w:after="60"/>
        <w:jc w:val="left"/>
      </w:pPr>
      <w:r>
        <w:t>wirtschaftlichem Druck.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