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Vorschau: liquiditaetsplan_edelholz</w:t>
      </w:r>
    </w:p>
    <w:p>
      <w:pPr>
        <w:spacing w:line="259" w:lineRule="auto" w:after="60"/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Sheet: 13-Wochen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Liquiditätsplan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_Stand: 2026-05-18 – Edelholz Manufaktur Berlin GmbH_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  <w:gridCol w:w="605"/>
      </w:tblGrid>
      <w:tr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Bestand Start Planung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21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22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23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24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25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26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27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28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29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30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31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32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b/>
                <w:sz w:val="20"/>
              </w:rPr>
              <w:t>KW 33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Kassenbestand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1.850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Kontostand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19.139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Liquidität Wochenanfang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Einnahmen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Umsatzerlöse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121.850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38.400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erhaltene Anzahlungen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sonstige Einnahmen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22.330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14.800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13.680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5.860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31.200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14.380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18.750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Summe Einnahmen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Ausgaben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Löhne und Gehälter einschl. LSt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53.000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53.000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53.500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54.000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Sozialversicherung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41.560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41.700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41.800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Waren/ Material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18.450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12.380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9.870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14.620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14.620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Miete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Heizung/Strom/Wasser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Verwaltung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Werbung/Marketing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Fahrzeug-/Leasingkosten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Versicherungen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Beratungskosten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820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sonstige Ausgaben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1.180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1.180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6.420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Investitionen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Betriebliche Steuern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3.800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16.840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14.200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sonstige Ausgaben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2.250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Darlehenstilgung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Zinsen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2.940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Privatentnahmen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Summe Ausgaben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Cash Flow Woche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Liquidität Woche Ende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fällige Verb. Folgewoche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27.000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3-Wochen-Lücke (kumuliert)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Lücken-Quote (%)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  <w:tr>
        <w:tc>
          <w:tcPr>
            <w:tcW w:type="dxa" w:w="605"/>
          </w:tcPr>
          <w:p>
            <w:r>
              <w:rPr>
                <w:rFonts w:ascii="Times New Roman" w:hAnsi="Times New Roman"/>
                <w:sz w:val="20"/>
              </w:rPr>
              <w:t>Ampel § 17 InsO</w:t>
            </w:r>
          </w:p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  <w:tc>
          <w:tcPr>
            <w:tcW w:type="dxa" w:w="605"/>
          </w:tcPr>
          <w:p/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Sheet: 26-Wochen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Liquiditätsplan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_Stand: 2026-05-18 – Edelholz Manufaktur Berlin GmbH_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</w:tblGrid>
      <w:tr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Bestand Start Planung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21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22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23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24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25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26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27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28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29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31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32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33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34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35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36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37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38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39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41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42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43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44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45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b/>
                <w:sz w:val="20"/>
              </w:rPr>
              <w:t>KW 46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Kassenbestand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1.850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Kontostand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19.139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Liquidität Wochenanfang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Einnahmen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Umsatzerlöse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121.850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38.400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erhaltene Anzahlungen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sonstige Einnahmen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22.330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14.800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13.680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5.860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31.200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14.380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18.750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Summe Einnahmen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Ausgaben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Löhne und Gehälter einschl. LSt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53.000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53.000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53.500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54.000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Sozialversicherung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41.560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41.700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41.800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Waren/ Material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18.450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12.380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9.870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14.620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14.620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Miete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Heizung/Strom/Wasser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Verwaltung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Werbung/Marketing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Fahrzeug-/Leasingkosten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Versicherungen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Beratungskosten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820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sonstige Ausgaben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6.420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Investitionen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Betriebliche Steuern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3.800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16.840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14.200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sonstige Ausgaben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2.250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Darlehenstilgung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Zinsen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2.940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Privatentnahmen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Summe Ausgaben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Cash Flow Woche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Liquidität Woche Ende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fällige Verb. Folgewoche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27.000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3-Wochen-Lücke (kumuliert)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Lücken-Quote (%)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  <w:tr>
        <w:tc>
          <w:tcPr>
            <w:tcW w:type="dxa" w:w="324"/>
          </w:tcPr>
          <w:p>
            <w:r>
              <w:rPr>
                <w:rFonts w:ascii="Times New Roman" w:hAnsi="Times New Roman"/>
                <w:sz w:val="20"/>
              </w:rPr>
              <w:t>Ampel § 17 InsO</w:t>
            </w:r>
          </w:p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  <w:tc>
          <w:tcPr>
            <w:tcW w:type="dxa" w:w="324"/>
          </w:tcPr>
          <w:p/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Sheet: 52-Wochen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Liquiditätsplan</w:t>
      </w:r>
    </w:p>
    <w:p>
      <w:pPr>
        <w:spacing w:line="259" w:lineRule="auto" w:after="60"/>
        <w:jc w:val="left"/>
      </w:pPr>
      <w:r>
        <w:t>_Stand: 2026-05-18 – Edelholz Manufaktur Berlin GmbH_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  <w:gridCol w:w="168"/>
      </w:tblGrid>
      <w:tr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Bestand Start Planung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21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22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23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24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25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26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27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28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29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31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32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33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34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35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36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37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38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39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41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42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43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44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45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46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47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48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49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50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51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52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53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2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3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4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5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6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7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8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9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11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12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13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14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15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16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17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18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b/>
                <w:sz w:val="20"/>
              </w:rPr>
              <w:t>KW 19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Kassenbestand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1.850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Kontostand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19.139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Liquidität Wochenanfang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Einnahmen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Umsatzerlöse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121.850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38.400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erhaltene Anzahlungen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sonstige Einnahmen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22.330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14.800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13.680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5.860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31.200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14.380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18.750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Summe Einnahmen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Ausgaben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Löhne und Gehälter einschl. LSt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53.000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53.000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53.500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54.000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Sozialversicherung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41.560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41.700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41.800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Waren/ Material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18.450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12.380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9.870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14.620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14.620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Miete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Heizung/Strom/Wasser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Verwaltung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Werbung/Marketing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Fahrzeug-/Leasingkosten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2.640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Versicherungen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Beratungskosten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820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sonstige Ausgaben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6.420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Investitionen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Betriebliche Steuern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3.800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16.840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14.200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sonstige Ausgaben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2.250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Darlehenstilgung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3.180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Zinsen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2.940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Privatentnahmen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Summe Ausgaben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Cash Flow Woche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Liquidität Woche Ende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fällige Verb. Folgewoche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27.000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38.000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3-Wochen-Lücke (kumuliert)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Lücken-Quote (%)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  <w:tr>
        <w:tc>
          <w:tcPr>
            <w:tcW w:type="dxa" w:w="168"/>
          </w:tcPr>
          <w:p>
            <w:r>
              <w:rPr>
                <w:rFonts w:ascii="Times New Roman" w:hAnsi="Times New Roman"/>
                <w:sz w:val="20"/>
              </w:rPr>
              <w:t>Ampel § 17 InsO</w:t>
            </w:r>
          </w:p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  <w:tc>
          <w:tcPr>
            <w:tcW w:type="dxa" w:w="168"/>
          </w:tcPr>
          <w:p/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Sheet: Fortfuehrungsprognose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Fortführungsprognose nach IDW S 6 / IDW S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IDW-S-6-Element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Befund / Annahme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 Auftrag/Auftragsdurchführung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Erstellung 12-Monats-Liquiditätsplan zum Stichtag 18.05.2026 im Auftrag der Geschäftsführung; Beurteilung des Vorliegens eines Insolvenzantragsgrundes nach §§ 17, 19 InsO und Hinweis nach § 102 StaRUG.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 Basisinformationen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Einzelfertigung Edelholz; 20 MA; Jahresumsatz 2025: 2.087 TEUR; Maschinenpark teilmodernisiert; Hausbanken: Berliner Sparkasse (Geschäftskonto), Mittelbrandenburgische Sparkasse (KK 150 TEUR, 92 % ausgenutzt, ab 01.01.2027 Reduzierung auf 80 TEUR angekündigt).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 Krisenstadium und Ursachen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Stadium: Liquiditätskrise (IDW-S-6-Stadienlehre, Tz. 5 ff.). Ursachen: Energiepreisanstieg 2022/23; Bugwelle Lieferantenkredit (64 TEUR überfällig); ausgeschöpfte KK-Linie; SV-Rückstand 65 TEUR; CNC-Antrieb defekt (28 TEUR Reparatur). Indizien § 17 InsO erfüllt: Lastschriftrückgabe 27.03.2026, SV-Rückstände TK (2. Mahnung, Strafanzeige § 266a StGB angedroht), AOK Vollstreckung angekündigt.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 Leitbild des sanierten Unternehmens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Fortführung des Geschäftsmodells Edeltischlerei mit Fokus Hotellerie/Boutique; Reduktion Privatkundengeschäft (Margenproblem); Aufbau wiederkehrender Wartungsverträge bei Bestandshotels.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 Maßnahmen zur Krisenbewältigung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Kurzfristig: Stundung SV-Beiträge mit Ratenplan, Verzicht Gesellschafterdarlehenstilgung Korbach (qualifizierter Rangrücktritt § 39 Abs. 2 InsO), Forderungsverkauf (Factoring) Senatsverwaltung. Mittelfristig: Aufstockung KK-Linie scheitert (Bank kürzt!); Sale-and-Lease-Back CNC-Maschine prüfen; Einlage Gesellschafter 80 TEUR notwendig. Langfristig: Margenanpassung Privatkundengeschäft, Restrukturierungsverfahren StaRUG nur bei nur drohender Zahlungsunfähigkeit (§ 18 InsO) eröffnet – hier ZU bereits eingetreten.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 Integrierte Planung 24+ Monate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Integrierte Planung 24 Monate liegt nicht vor. Skill zeigt: ab KW 22 (25.–31.05.2026) tritt Zahlungsunfähigkeit ein (Liquiditätslücke &gt; 10 %, nicht binnen 3 Wochen schließbar). Erst KW 31 (Zahlung Lützowufer) bringt operative Entlastung – dann aber 9 Wochen Zahlungsunfähigkeit überschritten.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 Aussage Sanierungsfähigkeit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Sanierungsfähigkeit IDW S 6: NEGATIV ohne Frischkapital + qualifizierten Rangrücktritt + Forderungsfactoring. Keine überwiegende Wahrscheinlichkeit branchenüblicher Ertragskraft binnen 24 Monaten.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 Fortbestehensprognose § 19 InsO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Fortbestehensprognose § 19 Abs. 2 InsO: NEGATIV. In Verbindung mit rechnerischer Unterdeckung (negatives bilanzielles EK 31.12.2025: −34 TEUR; im Überschuldungsstatus mit stillen Reserven CNC ca. +60 TEUR positiv, ABER ohne Rangrücktritt Korbach 70 TEUR → Unterdeckung verbleibt) → INSOLVENZRECHTLICHE ÜBERSCHULDUNG INDIZIERT (§ 19 InsO). Antragspflicht 6 Wochen ab Eintritt (§ 15a Abs. 1 Satz 2 InsO). Hinweis § 102 StaRUG zwingend.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Quellen: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• BGH, Urt. v. 24.05.2005 – IX ZR 123/04, BGHZ 163, 134 Rn. 12 ff. (§ 17 InsO).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• BGH, Urt. v. 12.10.2006 – IX ZR 228/03, NJW 2007, 78 Rn. 16 ff. (Indizienkatalog).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• BGH, Urt. v. 19.11.2019 – II ZR 233/18, NJW 2020, 1809 Rn. 17 ff. (Fortbestehensprognose).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• BGH, Urt. v. 09.10.2012 – II ZR 298/11, BGHZ 195, 42 Rn. 12 ff. (insolvenzrechtl. Überschuldung).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• IDW S 6 (Sanierungskonzepte), IDW S 11 (Insolvenzeröffnungsgründe).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• K. Schmidt/Herchen, K. Schmidt, InsO, 20. Aufl. 2023, §§ 17, 19 InsO.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Quellenregel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Quellenregel: Keine Kommentar-, Handbuch-, Aufsatz- oder Tabellenfundstellen aus Modellwissen; nur Nutzerquelle, amtliche/freie Quelle oder lizenzierte Live-Verifikation verwenden.</w:t>
            </w:r>
          </w:p>
        </w:tc>
        <w:tc>
          <w:tcPr>
            <w:tcW w:type="dxa" w:w="3024"/>
          </w:tcPr>
          <w:p/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Sheet: Annahmen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Annahmen und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Edelholz Manufaktur Berlin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Branche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Edeltischlerei / Möbelmanufaktur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Mitarbeiter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Stichtag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2026-05-18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Kassenbestand Start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1.850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Kontostand Start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19.139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Kreditlinie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Kreditlinie genutzt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138.400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Szenario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Base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